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B8A" w:rsidRDefault="005A56B5" w:rsidP="005A56B5">
      <w:pPr>
        <w:jc w:val="center"/>
        <w:rPr>
          <w:b/>
          <w:sz w:val="32"/>
          <w:szCs w:val="24"/>
        </w:rPr>
      </w:pPr>
      <w:r w:rsidRPr="005A56B5">
        <w:rPr>
          <w:b/>
          <w:sz w:val="32"/>
          <w:szCs w:val="24"/>
        </w:rPr>
        <w:t>Data Manifest for Campbell, Evans, Fisher, and Justiniano (2012)</w:t>
      </w:r>
    </w:p>
    <w:p w:rsidR="005A56B5" w:rsidRDefault="005A56B5" w:rsidP="005A56B5">
      <w:pPr>
        <w:jc w:val="center"/>
        <w:rPr>
          <w:b/>
          <w:sz w:val="32"/>
          <w:szCs w:val="24"/>
        </w:rPr>
      </w:pPr>
    </w:p>
    <w:p w:rsidR="005A56B5" w:rsidRDefault="005A56B5" w:rsidP="005A56B5">
      <w:pPr>
        <w:jc w:val="both"/>
        <w:rPr>
          <w:sz w:val="24"/>
          <w:szCs w:val="24"/>
        </w:rPr>
      </w:pPr>
      <w:r>
        <w:rPr>
          <w:sz w:val="24"/>
          <w:szCs w:val="24"/>
        </w:rPr>
        <w:t>This data manifest lists the sources of all observations used to calculate the results reported in the paper. For each source, we list the tables and figures it influences.</w:t>
      </w:r>
    </w:p>
    <w:p w:rsidR="008F1468" w:rsidRDefault="008F1468" w:rsidP="008F1468">
      <w:pPr>
        <w:pStyle w:val="Heading1"/>
      </w:pPr>
      <w:r>
        <w:t>Expected Policy</w:t>
      </w:r>
      <w:r w:rsidR="00EF50ED">
        <w:t xml:space="preserve"> Path</w:t>
      </w:r>
    </w:p>
    <w:p w:rsidR="008F1468" w:rsidRPr="008F1468" w:rsidRDefault="008F1468" w:rsidP="008F1468"/>
    <w:p w:rsidR="00413943" w:rsidRPr="00C977DD" w:rsidRDefault="008F1468" w:rsidP="005A56B5">
      <w:pPr>
        <w:jc w:val="both"/>
        <w:rPr>
          <w:sz w:val="24"/>
          <w:szCs w:val="24"/>
        </w:rPr>
      </w:pPr>
      <w:r w:rsidRPr="00C977DD">
        <w:rPr>
          <w:sz w:val="24"/>
          <w:szCs w:val="24"/>
        </w:rPr>
        <w:t>To compute the expected path of the federal funds rate we rely on federal funds rate (</w:t>
      </w:r>
      <w:r w:rsidR="00C977DD">
        <w:rPr>
          <w:sz w:val="24"/>
          <w:szCs w:val="24"/>
        </w:rPr>
        <w:t>FFR</w:t>
      </w:r>
      <w:r w:rsidRPr="00C977DD">
        <w:rPr>
          <w:sz w:val="24"/>
          <w:szCs w:val="24"/>
        </w:rPr>
        <w:t xml:space="preserve">) futures and Eurodollar futures. </w:t>
      </w:r>
    </w:p>
    <w:p w:rsidR="00D85B4C" w:rsidRPr="00C977DD" w:rsidRDefault="00D85B4C" w:rsidP="005A56B5">
      <w:pPr>
        <w:jc w:val="both"/>
        <w:rPr>
          <w:sz w:val="24"/>
          <w:szCs w:val="24"/>
        </w:rPr>
      </w:pPr>
      <w:r w:rsidRPr="00C977DD">
        <w:rPr>
          <w:sz w:val="24"/>
          <w:szCs w:val="24"/>
        </w:rPr>
        <w:t xml:space="preserve">Rates implied by federal funds futures are based on the 30-day interest future contract taken at the close of trading, where the contract is based on the average </w:t>
      </w:r>
      <w:r w:rsidR="00C977DD">
        <w:rPr>
          <w:sz w:val="24"/>
          <w:szCs w:val="24"/>
        </w:rPr>
        <w:t>FFR</w:t>
      </w:r>
      <w:r w:rsidRPr="00C977DD">
        <w:rPr>
          <w:sz w:val="24"/>
          <w:szCs w:val="24"/>
        </w:rPr>
        <w:t xml:space="preserve"> for the settlement month. We also add a 1 basis point per month term premium. </w:t>
      </w:r>
      <w:r w:rsidR="00413943" w:rsidRPr="00C977DD">
        <w:rPr>
          <w:sz w:val="24"/>
          <w:szCs w:val="24"/>
        </w:rPr>
        <w:t xml:space="preserve">Before March 15 2004, we only have </w:t>
      </w:r>
      <w:r w:rsidR="00C977DD">
        <w:rPr>
          <w:sz w:val="24"/>
          <w:szCs w:val="24"/>
        </w:rPr>
        <w:t>FFR</w:t>
      </w:r>
      <w:r w:rsidR="00413943" w:rsidRPr="00C977DD">
        <w:rPr>
          <w:sz w:val="24"/>
          <w:szCs w:val="24"/>
        </w:rPr>
        <w:t xml:space="preserve"> futures expiring at the end of the current and next two months. After that date </w:t>
      </w:r>
      <w:r w:rsidR="00821A9F">
        <w:rPr>
          <w:sz w:val="24"/>
          <w:szCs w:val="24"/>
        </w:rPr>
        <w:t xml:space="preserve">the expiration of </w:t>
      </w:r>
      <w:r w:rsidR="00C977DD">
        <w:rPr>
          <w:sz w:val="24"/>
          <w:szCs w:val="24"/>
        </w:rPr>
        <w:t>FFR</w:t>
      </w:r>
      <w:r w:rsidR="00B272F5" w:rsidRPr="00C977DD">
        <w:rPr>
          <w:sz w:val="24"/>
          <w:szCs w:val="24"/>
        </w:rPr>
        <w:t xml:space="preserve"> </w:t>
      </w:r>
      <w:r w:rsidR="00821A9F">
        <w:rPr>
          <w:sz w:val="24"/>
          <w:szCs w:val="24"/>
        </w:rPr>
        <w:t xml:space="preserve">contracts </w:t>
      </w:r>
      <w:r w:rsidR="00B272F5" w:rsidRPr="00C977DD">
        <w:rPr>
          <w:sz w:val="24"/>
          <w:szCs w:val="24"/>
        </w:rPr>
        <w:t>extend</w:t>
      </w:r>
      <w:r w:rsidR="00821A9F">
        <w:rPr>
          <w:sz w:val="24"/>
          <w:szCs w:val="24"/>
        </w:rPr>
        <w:t>s</w:t>
      </w:r>
      <w:r w:rsidR="00B272F5" w:rsidRPr="00C977DD">
        <w:rPr>
          <w:sz w:val="24"/>
          <w:szCs w:val="24"/>
        </w:rPr>
        <w:t xml:space="preserve"> up to 6 months into the</w:t>
      </w:r>
      <w:r w:rsidR="000A7322" w:rsidRPr="00C977DD">
        <w:rPr>
          <w:sz w:val="24"/>
          <w:szCs w:val="24"/>
        </w:rPr>
        <w:t xml:space="preserve"> future</w:t>
      </w:r>
      <w:r w:rsidR="00B272F5" w:rsidRPr="00C977DD">
        <w:rPr>
          <w:sz w:val="24"/>
          <w:szCs w:val="24"/>
        </w:rPr>
        <w:t>.</w:t>
      </w:r>
      <w:r w:rsidRPr="00C977DD">
        <w:rPr>
          <w:sz w:val="24"/>
          <w:szCs w:val="24"/>
        </w:rPr>
        <w:t xml:space="preserve"> </w:t>
      </w:r>
    </w:p>
    <w:p w:rsidR="00D85B4C" w:rsidRPr="00C977DD" w:rsidRDefault="00D85B4C" w:rsidP="005A56B5">
      <w:pPr>
        <w:jc w:val="both"/>
        <w:rPr>
          <w:sz w:val="24"/>
          <w:szCs w:val="24"/>
        </w:rPr>
      </w:pPr>
      <w:r w:rsidRPr="00C977DD">
        <w:rPr>
          <w:sz w:val="24"/>
          <w:szCs w:val="24"/>
        </w:rPr>
        <w:t xml:space="preserve">Rates implied by </w:t>
      </w:r>
      <w:r w:rsidR="00C977DD">
        <w:rPr>
          <w:sz w:val="24"/>
          <w:szCs w:val="24"/>
        </w:rPr>
        <w:t>E</w:t>
      </w:r>
      <w:r w:rsidRPr="00C977DD">
        <w:rPr>
          <w:sz w:val="24"/>
          <w:szCs w:val="24"/>
        </w:rPr>
        <w:t xml:space="preserve">urodollar futures are based on the settlement prices of Eurodollar future contracts traded on the CME. As in the previous case, we add </w:t>
      </w:r>
      <w:r w:rsidR="00773C55">
        <w:rPr>
          <w:sz w:val="24"/>
          <w:szCs w:val="24"/>
        </w:rPr>
        <w:t xml:space="preserve">a </w:t>
      </w:r>
      <w:r w:rsidRPr="00C977DD">
        <w:rPr>
          <w:sz w:val="24"/>
          <w:szCs w:val="24"/>
        </w:rPr>
        <w:t xml:space="preserve">1 basis point per month term premium. In addition, since these </w:t>
      </w:r>
      <w:r w:rsidR="00D158EC" w:rsidRPr="00C977DD">
        <w:rPr>
          <w:sz w:val="24"/>
          <w:szCs w:val="24"/>
        </w:rPr>
        <w:t xml:space="preserve">contracts settle on LIBOR rates, </w:t>
      </w:r>
      <w:r w:rsidRPr="00C977DD">
        <w:rPr>
          <w:sz w:val="24"/>
          <w:szCs w:val="24"/>
        </w:rPr>
        <w:t xml:space="preserve">we further adjust the implied rates using daily quotes on LIBOR versus federal funds rate basis swaps. </w:t>
      </w:r>
    </w:p>
    <w:p w:rsidR="00E07162" w:rsidRPr="00C977DD" w:rsidRDefault="00E07162" w:rsidP="00E07162">
      <w:pPr>
        <w:jc w:val="both"/>
        <w:rPr>
          <w:sz w:val="24"/>
          <w:szCs w:val="24"/>
        </w:rPr>
      </w:pPr>
      <w:r w:rsidRPr="00C977DD">
        <w:rPr>
          <w:sz w:val="24"/>
          <w:szCs w:val="24"/>
        </w:rPr>
        <w:t>Based on these data</w:t>
      </w:r>
      <w:r w:rsidR="003E6BCD">
        <w:rPr>
          <w:sz w:val="24"/>
          <w:szCs w:val="24"/>
        </w:rPr>
        <w:t>,</w:t>
      </w:r>
      <w:r w:rsidRPr="00C977DD">
        <w:rPr>
          <w:sz w:val="24"/>
          <w:szCs w:val="24"/>
        </w:rPr>
        <w:t xml:space="preserve"> policy surprises are constructed as the one day change in the implied </w:t>
      </w:r>
      <w:r w:rsidR="00C977DD">
        <w:rPr>
          <w:sz w:val="24"/>
          <w:szCs w:val="24"/>
        </w:rPr>
        <w:t>FFR</w:t>
      </w:r>
      <w:r w:rsidRPr="00C977DD">
        <w:rPr>
          <w:sz w:val="24"/>
          <w:szCs w:val="24"/>
        </w:rPr>
        <w:t xml:space="preserve"> </w:t>
      </w:r>
      <w:r w:rsidR="00177A2B">
        <w:rPr>
          <w:sz w:val="24"/>
          <w:szCs w:val="24"/>
        </w:rPr>
        <w:t xml:space="preserve">for contracts expiring at the end of the </w:t>
      </w:r>
      <w:r w:rsidRPr="00C977DD">
        <w:rPr>
          <w:sz w:val="24"/>
          <w:szCs w:val="24"/>
        </w:rPr>
        <w:t xml:space="preserve">current month, as well as 1 through K quarters into the future. Changes are measured as the difference between the implied rates in the day of the FOMC statement or announcement and those in the prior business day.  </w:t>
      </w:r>
    </w:p>
    <w:p w:rsidR="00026DF2" w:rsidRPr="00C977DD" w:rsidRDefault="009152E3" w:rsidP="00026DF2">
      <w:pPr>
        <w:jc w:val="both"/>
        <w:rPr>
          <w:sz w:val="24"/>
          <w:szCs w:val="24"/>
        </w:rPr>
      </w:pPr>
      <w:r w:rsidRPr="00C977DD">
        <w:rPr>
          <w:sz w:val="24"/>
          <w:szCs w:val="24"/>
        </w:rPr>
        <w:t>For the analysis prior to 2007, the data are given in the worksheet</w:t>
      </w:r>
      <w:r w:rsidRPr="001D31EA">
        <w:rPr>
          <w:i/>
          <w:sz w:val="24"/>
          <w:szCs w:val="24"/>
        </w:rPr>
        <w:t xml:space="preserve"> fiveContractsLessSep11</w:t>
      </w:r>
      <w:r w:rsidRPr="00C977DD">
        <w:rPr>
          <w:sz w:val="24"/>
          <w:szCs w:val="24"/>
        </w:rPr>
        <w:t xml:space="preserve"> of the Excel file </w:t>
      </w:r>
      <w:proofErr w:type="spellStart"/>
      <w:r w:rsidRPr="001D31EA">
        <w:rPr>
          <w:i/>
          <w:sz w:val="24"/>
          <w:szCs w:val="24"/>
        </w:rPr>
        <w:t>GSSdata</w:t>
      </w:r>
      <w:proofErr w:type="spellEnd"/>
      <w:r w:rsidR="00C241DB">
        <w:rPr>
          <w:sz w:val="24"/>
          <w:szCs w:val="24"/>
        </w:rPr>
        <w:t xml:space="preserve">. In this case </w:t>
      </w:r>
      <w:r w:rsidR="00D158EC" w:rsidRPr="00C977DD">
        <w:rPr>
          <w:sz w:val="24"/>
          <w:szCs w:val="24"/>
        </w:rPr>
        <w:t>K=4, i.e.</w:t>
      </w:r>
      <w:r w:rsidR="00C241DB">
        <w:rPr>
          <w:sz w:val="24"/>
          <w:szCs w:val="24"/>
        </w:rPr>
        <w:t xml:space="preserve"> rates extend </w:t>
      </w:r>
      <w:r w:rsidR="00D158EC" w:rsidRPr="00C977DD">
        <w:rPr>
          <w:sz w:val="24"/>
          <w:szCs w:val="24"/>
        </w:rPr>
        <w:t>up to 4 quarters in the future</w:t>
      </w:r>
      <w:r w:rsidRPr="00C977DD">
        <w:rPr>
          <w:sz w:val="24"/>
          <w:szCs w:val="24"/>
        </w:rPr>
        <w:t xml:space="preserve">. The </w:t>
      </w:r>
      <w:r w:rsidR="00026DF2" w:rsidRPr="00C977DD">
        <w:rPr>
          <w:sz w:val="24"/>
          <w:szCs w:val="24"/>
        </w:rPr>
        <w:t xml:space="preserve">5 variables included are as follows: </w:t>
      </w:r>
    </w:p>
    <w:p w:rsidR="00026DF2" w:rsidRPr="00C977DD" w:rsidRDefault="00026DF2" w:rsidP="00026DF2">
      <w:pPr>
        <w:pStyle w:val="ListParagraph"/>
        <w:numPr>
          <w:ilvl w:val="0"/>
          <w:numId w:val="2"/>
        </w:numPr>
        <w:jc w:val="both"/>
        <w:rPr>
          <w:sz w:val="24"/>
          <w:szCs w:val="24"/>
        </w:rPr>
      </w:pPr>
      <w:r w:rsidRPr="00C977DD">
        <w:rPr>
          <w:rFonts w:eastAsia="Times New Roman" w:cs="Times New Roman"/>
          <w:b/>
          <w:color w:val="000000" w:themeColor="text1"/>
          <w:sz w:val="24"/>
          <w:szCs w:val="24"/>
        </w:rPr>
        <w:t>t_0difScaled</w:t>
      </w:r>
      <w:r w:rsidRPr="00C977DD">
        <w:rPr>
          <w:rFonts w:eastAsia="Times New Roman" w:cs="Times New Roman"/>
          <w:color w:val="000000" w:themeColor="text1"/>
          <w:sz w:val="24"/>
          <w:szCs w:val="24"/>
        </w:rPr>
        <w:t xml:space="preserve">: daily change in the rate implied by the </w:t>
      </w:r>
      <w:r w:rsidR="00C977DD">
        <w:rPr>
          <w:rFonts w:eastAsia="Times New Roman" w:cs="Times New Roman"/>
          <w:color w:val="000000" w:themeColor="text1"/>
          <w:sz w:val="24"/>
          <w:szCs w:val="24"/>
        </w:rPr>
        <w:t>FFR</w:t>
      </w:r>
      <w:r w:rsidRPr="00C977DD">
        <w:rPr>
          <w:rFonts w:eastAsia="Times New Roman" w:cs="Times New Roman"/>
          <w:color w:val="000000" w:themeColor="text1"/>
          <w:sz w:val="24"/>
          <w:szCs w:val="24"/>
        </w:rPr>
        <w:t xml:space="preserve"> futures contract expiring at the end of the current month. This is adjusted for the (difference across dates) in the number of days remaining in the contract, as explained in </w:t>
      </w:r>
      <w:proofErr w:type="spellStart"/>
      <w:r w:rsidRPr="00C977DD">
        <w:rPr>
          <w:rFonts w:eastAsia="Times New Roman" w:cs="Times New Roman"/>
          <w:color w:val="000000" w:themeColor="text1"/>
          <w:sz w:val="24"/>
          <w:szCs w:val="24"/>
        </w:rPr>
        <w:t>Kuttner</w:t>
      </w:r>
      <w:proofErr w:type="spellEnd"/>
      <w:r w:rsidRPr="00C977DD">
        <w:rPr>
          <w:rFonts w:eastAsia="Times New Roman" w:cs="Times New Roman"/>
          <w:color w:val="000000" w:themeColor="text1"/>
          <w:sz w:val="24"/>
          <w:szCs w:val="24"/>
        </w:rPr>
        <w:t>,</w:t>
      </w:r>
      <w:r w:rsidRPr="00C977DD">
        <w:rPr>
          <w:rFonts w:cs="TimesNewRomanPSMT"/>
          <w:color w:val="000000" w:themeColor="text1"/>
          <w:sz w:val="24"/>
          <w:szCs w:val="24"/>
        </w:rPr>
        <w:t xml:space="preserve"> “Monetary Policy Surprises and Interest Rates: Evidence from the Fed Funds Futures Market,”</w:t>
      </w:r>
      <w:r w:rsidR="00C977DD">
        <w:rPr>
          <w:rFonts w:cs="TimesNewRomanPSMT"/>
          <w:color w:val="000000" w:themeColor="text1"/>
          <w:sz w:val="24"/>
          <w:szCs w:val="24"/>
        </w:rPr>
        <w:t xml:space="preserve"> </w:t>
      </w:r>
      <w:r w:rsidRPr="00C977DD">
        <w:rPr>
          <w:rFonts w:cs="TimesNewRomanPS-ItalicMT"/>
          <w:i/>
          <w:iCs/>
          <w:color w:val="000000" w:themeColor="text1"/>
          <w:sz w:val="24"/>
          <w:szCs w:val="24"/>
        </w:rPr>
        <w:t>Journal of Monetary Economics</w:t>
      </w:r>
      <w:r w:rsidRPr="00C977DD">
        <w:rPr>
          <w:rFonts w:cs="TimesNewRomanPSMT"/>
          <w:color w:val="000000" w:themeColor="text1"/>
          <w:sz w:val="24"/>
          <w:szCs w:val="24"/>
        </w:rPr>
        <w:t>, Volume 47 No. 3, June 2001, pp. 523-544</w:t>
      </w:r>
      <w:r w:rsidRPr="00C977DD">
        <w:rPr>
          <w:rFonts w:eastAsia="Times New Roman" w:cs="Times New Roman"/>
          <w:color w:val="000000" w:themeColor="text1"/>
          <w:sz w:val="24"/>
          <w:szCs w:val="24"/>
        </w:rPr>
        <w:t xml:space="preserve">. </w:t>
      </w:r>
    </w:p>
    <w:p w:rsidR="00B063DA" w:rsidRPr="00C977DD" w:rsidRDefault="00026DF2" w:rsidP="00026DF2">
      <w:pPr>
        <w:pStyle w:val="ListParagraph"/>
        <w:numPr>
          <w:ilvl w:val="0"/>
          <w:numId w:val="2"/>
        </w:numPr>
        <w:jc w:val="both"/>
        <w:rPr>
          <w:sz w:val="24"/>
          <w:szCs w:val="24"/>
        </w:rPr>
      </w:pPr>
      <w:r w:rsidRPr="00C977DD">
        <w:rPr>
          <w:b/>
          <w:sz w:val="24"/>
          <w:szCs w:val="24"/>
        </w:rPr>
        <w:t>q_1dif:</w:t>
      </w:r>
      <w:r w:rsidRPr="00C977DD">
        <w:rPr>
          <w:sz w:val="24"/>
          <w:szCs w:val="24"/>
        </w:rPr>
        <w:t xml:space="preserve"> After March </w:t>
      </w:r>
      <w:r w:rsidR="00D158EC" w:rsidRPr="00C977DD">
        <w:rPr>
          <w:sz w:val="24"/>
          <w:szCs w:val="24"/>
        </w:rPr>
        <w:t xml:space="preserve">15 </w:t>
      </w:r>
      <w:r w:rsidRPr="00C977DD">
        <w:rPr>
          <w:sz w:val="24"/>
          <w:szCs w:val="24"/>
        </w:rPr>
        <w:t xml:space="preserve">2004, </w:t>
      </w:r>
      <w:r w:rsidRPr="00C977DD">
        <w:rPr>
          <w:rFonts w:eastAsia="Times New Roman" w:cs="Times New Roman"/>
          <w:color w:val="000000" w:themeColor="text1"/>
          <w:sz w:val="24"/>
          <w:szCs w:val="24"/>
        </w:rPr>
        <w:t xml:space="preserve">daily change in the rate implied by the </w:t>
      </w:r>
      <w:r w:rsidR="00C977DD">
        <w:rPr>
          <w:rFonts w:eastAsia="Times New Roman" w:cs="Times New Roman"/>
          <w:color w:val="000000" w:themeColor="text1"/>
          <w:sz w:val="24"/>
          <w:szCs w:val="24"/>
        </w:rPr>
        <w:t>FFR</w:t>
      </w:r>
      <w:r w:rsidRPr="00C977DD">
        <w:rPr>
          <w:rFonts w:eastAsia="Times New Roman" w:cs="Times New Roman"/>
          <w:color w:val="000000" w:themeColor="text1"/>
          <w:sz w:val="24"/>
          <w:szCs w:val="24"/>
        </w:rPr>
        <w:t xml:space="preserve"> futures contract expiring at the end of 3 months from the current month</w:t>
      </w:r>
      <w:r w:rsidR="00D158EC" w:rsidRPr="00C977DD">
        <w:rPr>
          <w:rFonts w:eastAsia="Times New Roman" w:cs="Times New Roman"/>
          <w:color w:val="000000" w:themeColor="text1"/>
          <w:sz w:val="24"/>
          <w:szCs w:val="24"/>
        </w:rPr>
        <w:t xml:space="preserve">. Before March 15, as </w:t>
      </w:r>
      <w:r w:rsidR="00D158EC" w:rsidRPr="00C977DD">
        <w:rPr>
          <w:rFonts w:eastAsia="Times New Roman" w:cs="Times New Roman"/>
          <w:color w:val="000000" w:themeColor="text1"/>
          <w:sz w:val="24"/>
          <w:szCs w:val="24"/>
        </w:rPr>
        <w:lastRenderedPageBreak/>
        <w:t xml:space="preserve">mentioned, we do not have data on </w:t>
      </w:r>
      <w:r w:rsidR="00C977DD">
        <w:rPr>
          <w:rFonts w:eastAsia="Times New Roman" w:cs="Times New Roman"/>
          <w:color w:val="000000" w:themeColor="text1"/>
          <w:sz w:val="24"/>
          <w:szCs w:val="24"/>
        </w:rPr>
        <w:t>FFR</w:t>
      </w:r>
      <w:r w:rsidR="00D158EC" w:rsidRPr="00C977DD">
        <w:rPr>
          <w:rFonts w:eastAsia="Times New Roman" w:cs="Times New Roman"/>
          <w:color w:val="000000" w:themeColor="text1"/>
          <w:sz w:val="24"/>
          <w:szCs w:val="24"/>
        </w:rPr>
        <w:t xml:space="preserve"> futures past two months into the future, which forces us to adopt the foll</w:t>
      </w:r>
      <w:r w:rsidR="00A60AB3">
        <w:rPr>
          <w:rFonts w:eastAsia="Times New Roman" w:cs="Times New Roman"/>
          <w:color w:val="000000" w:themeColor="text1"/>
          <w:sz w:val="24"/>
          <w:szCs w:val="24"/>
        </w:rPr>
        <w:t xml:space="preserve">owing convention. If the date—of </w:t>
      </w:r>
      <w:r w:rsidR="00D158EC" w:rsidRPr="00C977DD">
        <w:rPr>
          <w:rFonts w:eastAsia="Times New Roman" w:cs="Times New Roman"/>
          <w:color w:val="000000" w:themeColor="text1"/>
          <w:sz w:val="24"/>
          <w:szCs w:val="24"/>
        </w:rPr>
        <w:t xml:space="preserve">the FOMC meeting/announcement—is in the first month of the quarter, then we use the implied rate according to the Eurodollar </w:t>
      </w:r>
      <w:r w:rsidR="00B063DA" w:rsidRPr="00C977DD">
        <w:rPr>
          <w:rFonts w:eastAsia="Times New Roman" w:cs="Times New Roman"/>
          <w:color w:val="000000" w:themeColor="text1"/>
          <w:sz w:val="24"/>
          <w:szCs w:val="24"/>
        </w:rPr>
        <w:t xml:space="preserve">futures </w:t>
      </w:r>
      <w:r w:rsidR="00D158EC" w:rsidRPr="00C977DD">
        <w:rPr>
          <w:rFonts w:eastAsia="Times New Roman" w:cs="Times New Roman"/>
          <w:color w:val="000000" w:themeColor="text1"/>
          <w:sz w:val="24"/>
          <w:szCs w:val="24"/>
        </w:rPr>
        <w:t xml:space="preserve">expiring next quarter.  For the second and third months in the quarter, instead, we use the </w:t>
      </w:r>
      <w:r w:rsidR="00C977DD">
        <w:rPr>
          <w:rFonts w:eastAsia="Times New Roman" w:cs="Times New Roman"/>
          <w:color w:val="000000" w:themeColor="text1"/>
          <w:sz w:val="24"/>
          <w:szCs w:val="24"/>
        </w:rPr>
        <w:t xml:space="preserve">FFR </w:t>
      </w:r>
      <w:r w:rsidR="00D158EC" w:rsidRPr="00C977DD">
        <w:rPr>
          <w:rFonts w:eastAsia="Times New Roman" w:cs="Times New Roman"/>
          <w:color w:val="000000" w:themeColor="text1"/>
          <w:sz w:val="24"/>
          <w:szCs w:val="24"/>
        </w:rPr>
        <w:t xml:space="preserve">futures two months </w:t>
      </w:r>
      <w:r w:rsidR="00E90DC3">
        <w:rPr>
          <w:rFonts w:eastAsia="Times New Roman" w:cs="Times New Roman"/>
          <w:color w:val="000000" w:themeColor="text1"/>
          <w:sz w:val="24"/>
          <w:szCs w:val="24"/>
        </w:rPr>
        <w:t>hence</w:t>
      </w:r>
      <w:r w:rsidR="00D158EC" w:rsidRPr="00C977DD">
        <w:rPr>
          <w:rFonts w:eastAsia="Times New Roman" w:cs="Times New Roman"/>
          <w:color w:val="000000" w:themeColor="text1"/>
          <w:sz w:val="24"/>
          <w:szCs w:val="24"/>
        </w:rPr>
        <w:t>.</w:t>
      </w:r>
      <w:r w:rsidR="00B063DA" w:rsidRPr="00C977DD">
        <w:rPr>
          <w:rFonts w:eastAsia="Times New Roman" w:cs="Times New Roman"/>
          <w:color w:val="000000" w:themeColor="text1"/>
          <w:sz w:val="24"/>
          <w:szCs w:val="24"/>
        </w:rPr>
        <w:t xml:space="preserve"> Unfortunately, as a result, policy surprises in the first month of the quarter correspond to contracts expiring at a longer horizon tha</w:t>
      </w:r>
      <w:r w:rsidR="00E90DC3">
        <w:rPr>
          <w:rFonts w:eastAsia="Times New Roman" w:cs="Times New Roman"/>
          <w:color w:val="000000" w:themeColor="text1"/>
          <w:sz w:val="24"/>
          <w:szCs w:val="24"/>
        </w:rPr>
        <w:t>n for the remaining two months i</w:t>
      </w:r>
      <w:r w:rsidR="00B063DA" w:rsidRPr="00C977DD">
        <w:rPr>
          <w:rFonts w:eastAsia="Times New Roman" w:cs="Times New Roman"/>
          <w:color w:val="000000" w:themeColor="text1"/>
          <w:sz w:val="24"/>
          <w:szCs w:val="24"/>
        </w:rPr>
        <w:t xml:space="preserve">n the quarter. </w:t>
      </w:r>
    </w:p>
    <w:p w:rsidR="00026DF2" w:rsidRPr="00C977DD" w:rsidRDefault="00B063DA" w:rsidP="00026DF2">
      <w:pPr>
        <w:pStyle w:val="ListParagraph"/>
        <w:numPr>
          <w:ilvl w:val="0"/>
          <w:numId w:val="2"/>
        </w:numPr>
        <w:jc w:val="both"/>
        <w:rPr>
          <w:sz w:val="24"/>
          <w:szCs w:val="24"/>
        </w:rPr>
      </w:pPr>
      <w:r w:rsidRPr="00C977DD">
        <w:rPr>
          <w:rFonts w:eastAsia="Times New Roman" w:cs="Times New Roman"/>
          <w:b/>
          <w:color w:val="000000" w:themeColor="text1"/>
          <w:sz w:val="24"/>
          <w:szCs w:val="24"/>
        </w:rPr>
        <w:t>q_&lt;j&gt;</w:t>
      </w:r>
      <w:r w:rsidR="00F80EF8" w:rsidRPr="00C977DD">
        <w:rPr>
          <w:rFonts w:eastAsia="Times New Roman" w:cs="Times New Roman"/>
          <w:b/>
          <w:color w:val="000000" w:themeColor="text1"/>
          <w:sz w:val="24"/>
          <w:szCs w:val="24"/>
        </w:rPr>
        <w:t>dif</w:t>
      </w:r>
      <w:r w:rsidRPr="00C977DD">
        <w:rPr>
          <w:rFonts w:eastAsia="Times New Roman" w:cs="Times New Roman"/>
          <w:b/>
          <w:color w:val="000000" w:themeColor="text1"/>
          <w:sz w:val="24"/>
          <w:szCs w:val="24"/>
        </w:rPr>
        <w:t xml:space="preserve"> for j=2,</w:t>
      </w:r>
      <w:r w:rsidR="001D31EA">
        <w:rPr>
          <w:rFonts w:eastAsia="Times New Roman" w:cs="Times New Roman"/>
          <w:b/>
          <w:color w:val="000000" w:themeColor="text1"/>
          <w:sz w:val="24"/>
          <w:szCs w:val="24"/>
        </w:rPr>
        <w:t xml:space="preserve"> </w:t>
      </w:r>
      <w:r w:rsidRPr="00C977DD">
        <w:rPr>
          <w:rFonts w:eastAsia="Times New Roman" w:cs="Times New Roman"/>
          <w:b/>
          <w:color w:val="000000" w:themeColor="text1"/>
          <w:sz w:val="24"/>
          <w:szCs w:val="24"/>
        </w:rPr>
        <w:t>3 and 4</w:t>
      </w:r>
      <w:r w:rsidR="00F80EF8" w:rsidRPr="00C977DD">
        <w:rPr>
          <w:rFonts w:eastAsia="Times New Roman" w:cs="Times New Roman"/>
          <w:color w:val="000000" w:themeColor="text1"/>
          <w:sz w:val="24"/>
          <w:szCs w:val="24"/>
        </w:rPr>
        <w:t xml:space="preserve">: </w:t>
      </w:r>
      <w:r w:rsidRPr="00C977DD">
        <w:rPr>
          <w:rFonts w:eastAsia="Times New Roman" w:cs="Times New Roman"/>
          <w:color w:val="000000" w:themeColor="text1"/>
          <w:sz w:val="24"/>
          <w:szCs w:val="24"/>
        </w:rPr>
        <w:t xml:space="preserve">daily changes in the rate implied by Eurodollar futures expiring &lt;j&gt; quarters ahead. </w:t>
      </w:r>
    </w:p>
    <w:p w:rsidR="00B063DA" w:rsidRPr="00C977DD" w:rsidRDefault="00B063DA" w:rsidP="00F80EF8">
      <w:pPr>
        <w:pStyle w:val="ListParagraph"/>
        <w:jc w:val="both"/>
        <w:rPr>
          <w:sz w:val="24"/>
          <w:szCs w:val="24"/>
        </w:rPr>
      </w:pPr>
    </w:p>
    <w:p w:rsidR="005132EC" w:rsidRDefault="00F80EF8" w:rsidP="005132EC">
      <w:pPr>
        <w:pStyle w:val="ListParagraph"/>
        <w:jc w:val="both"/>
        <w:rPr>
          <w:sz w:val="24"/>
          <w:szCs w:val="24"/>
        </w:rPr>
      </w:pPr>
      <w:r w:rsidRPr="00C977DD">
        <w:rPr>
          <w:sz w:val="24"/>
          <w:szCs w:val="24"/>
        </w:rPr>
        <w:t xml:space="preserve">As explained in the text, we exclude Sep 17 2001 in </w:t>
      </w:r>
      <w:r w:rsidR="00AF3D4E">
        <w:rPr>
          <w:sz w:val="24"/>
          <w:szCs w:val="24"/>
        </w:rPr>
        <w:t xml:space="preserve">inferring </w:t>
      </w:r>
      <w:r w:rsidRPr="00C977DD">
        <w:rPr>
          <w:sz w:val="24"/>
          <w:szCs w:val="24"/>
        </w:rPr>
        <w:t xml:space="preserve">the factors and subsequent analysis. </w:t>
      </w:r>
    </w:p>
    <w:p w:rsidR="005132EC" w:rsidRDefault="005132EC" w:rsidP="005132EC">
      <w:pPr>
        <w:pStyle w:val="ListParagraph"/>
        <w:jc w:val="both"/>
        <w:rPr>
          <w:sz w:val="24"/>
          <w:szCs w:val="24"/>
        </w:rPr>
      </w:pPr>
    </w:p>
    <w:p w:rsidR="005132EC" w:rsidRDefault="00E90DC3" w:rsidP="001D31EA">
      <w:pPr>
        <w:pStyle w:val="ListParagraph"/>
        <w:jc w:val="both"/>
        <w:rPr>
          <w:rFonts w:eastAsia="Times New Roman" w:cs="Times New Roman"/>
          <w:color w:val="000000" w:themeColor="text1"/>
          <w:sz w:val="24"/>
          <w:szCs w:val="24"/>
        </w:rPr>
      </w:pPr>
      <w:r w:rsidRPr="005132EC">
        <w:rPr>
          <w:sz w:val="24"/>
          <w:szCs w:val="24"/>
        </w:rPr>
        <w:t>For the crisis period, data are given in the works</w:t>
      </w:r>
      <w:r w:rsidR="005132EC" w:rsidRPr="005132EC">
        <w:rPr>
          <w:sz w:val="24"/>
          <w:szCs w:val="24"/>
        </w:rPr>
        <w:t>heet</w:t>
      </w:r>
      <w:r w:rsidR="005132EC">
        <w:rPr>
          <w:sz w:val="24"/>
          <w:szCs w:val="24"/>
        </w:rPr>
        <w:t xml:space="preserve"> </w:t>
      </w:r>
      <w:proofErr w:type="spellStart"/>
      <w:r w:rsidRPr="001D31EA">
        <w:rPr>
          <w:i/>
          <w:sz w:val="24"/>
          <w:szCs w:val="24"/>
        </w:rPr>
        <w:t>sevenContractsAllMeetings</w:t>
      </w:r>
      <w:proofErr w:type="spellEnd"/>
      <w:r w:rsidRPr="005132EC">
        <w:rPr>
          <w:sz w:val="24"/>
          <w:szCs w:val="24"/>
        </w:rPr>
        <w:t xml:space="preserve"> in the same file</w:t>
      </w:r>
      <w:r w:rsidR="005132EC">
        <w:rPr>
          <w:sz w:val="24"/>
          <w:szCs w:val="24"/>
        </w:rPr>
        <w:t>, with K=6</w:t>
      </w:r>
      <w:r w:rsidRPr="005132EC">
        <w:rPr>
          <w:sz w:val="24"/>
          <w:szCs w:val="24"/>
        </w:rPr>
        <w:t xml:space="preserve">.  The first </w:t>
      </w:r>
      <w:r w:rsidR="005132EC" w:rsidRPr="005132EC">
        <w:rPr>
          <w:sz w:val="24"/>
          <w:szCs w:val="24"/>
        </w:rPr>
        <w:t xml:space="preserve">five variables are as </w:t>
      </w:r>
      <w:r w:rsidRPr="005132EC">
        <w:rPr>
          <w:sz w:val="24"/>
          <w:szCs w:val="24"/>
        </w:rPr>
        <w:t xml:space="preserve">above, </w:t>
      </w:r>
      <w:r w:rsidR="005132EC" w:rsidRPr="005132EC">
        <w:rPr>
          <w:sz w:val="24"/>
          <w:szCs w:val="24"/>
        </w:rPr>
        <w:t xml:space="preserve">except </w:t>
      </w:r>
      <w:r w:rsidRPr="005132EC">
        <w:rPr>
          <w:sz w:val="24"/>
          <w:szCs w:val="24"/>
        </w:rPr>
        <w:t xml:space="preserve">that we </w:t>
      </w:r>
      <w:r w:rsidR="005132EC" w:rsidRPr="005132EC">
        <w:rPr>
          <w:sz w:val="24"/>
          <w:szCs w:val="24"/>
        </w:rPr>
        <w:t xml:space="preserve">can now </w:t>
      </w:r>
      <w:r w:rsidRPr="005132EC">
        <w:rPr>
          <w:sz w:val="24"/>
          <w:szCs w:val="24"/>
        </w:rPr>
        <w:t xml:space="preserve">rely on FFR futures only for </w:t>
      </w:r>
      <w:r w:rsidRPr="005132EC">
        <w:rPr>
          <w:b/>
          <w:sz w:val="24"/>
          <w:szCs w:val="24"/>
        </w:rPr>
        <w:t>q_1dif</w:t>
      </w:r>
      <w:r w:rsidR="005132EC" w:rsidRPr="005132EC">
        <w:rPr>
          <w:b/>
          <w:sz w:val="24"/>
          <w:szCs w:val="24"/>
        </w:rPr>
        <w:t xml:space="preserve">, </w:t>
      </w:r>
      <w:r w:rsidR="005132EC" w:rsidRPr="005132EC">
        <w:rPr>
          <w:sz w:val="24"/>
          <w:szCs w:val="24"/>
        </w:rPr>
        <w:t>for reasons already</w:t>
      </w:r>
      <w:r w:rsidR="005132EC">
        <w:rPr>
          <w:sz w:val="24"/>
          <w:szCs w:val="24"/>
        </w:rPr>
        <w:t xml:space="preserve"> </w:t>
      </w:r>
      <w:r w:rsidR="005132EC" w:rsidRPr="005132EC">
        <w:rPr>
          <w:sz w:val="24"/>
          <w:szCs w:val="24"/>
        </w:rPr>
        <w:t xml:space="preserve">explained. </w:t>
      </w:r>
      <w:r w:rsidR="005132EC">
        <w:rPr>
          <w:sz w:val="24"/>
          <w:szCs w:val="24"/>
        </w:rPr>
        <w:t xml:space="preserve">We add two additional horizons, </w:t>
      </w:r>
      <w:r w:rsidR="005132EC">
        <w:rPr>
          <w:rFonts w:eastAsia="Times New Roman" w:cs="Times New Roman"/>
          <w:b/>
          <w:color w:val="000000" w:themeColor="text1"/>
          <w:sz w:val="24"/>
          <w:szCs w:val="24"/>
        </w:rPr>
        <w:t>q_5</w:t>
      </w:r>
      <w:r w:rsidR="005132EC" w:rsidRPr="00C977DD">
        <w:rPr>
          <w:rFonts w:eastAsia="Times New Roman" w:cs="Times New Roman"/>
          <w:b/>
          <w:color w:val="000000" w:themeColor="text1"/>
          <w:sz w:val="24"/>
          <w:szCs w:val="24"/>
        </w:rPr>
        <w:t>dif</w:t>
      </w:r>
      <w:r w:rsidR="005132EC">
        <w:rPr>
          <w:rFonts w:eastAsia="Times New Roman" w:cs="Times New Roman"/>
          <w:b/>
          <w:color w:val="000000" w:themeColor="text1"/>
          <w:sz w:val="24"/>
          <w:szCs w:val="24"/>
        </w:rPr>
        <w:t xml:space="preserve"> and q_6</w:t>
      </w:r>
      <w:r w:rsidR="005132EC" w:rsidRPr="00C977DD">
        <w:rPr>
          <w:rFonts w:eastAsia="Times New Roman" w:cs="Times New Roman"/>
          <w:b/>
          <w:color w:val="000000" w:themeColor="text1"/>
          <w:sz w:val="24"/>
          <w:szCs w:val="24"/>
        </w:rPr>
        <w:t>dif</w:t>
      </w:r>
      <w:r w:rsidR="005132EC">
        <w:rPr>
          <w:rFonts w:eastAsia="Times New Roman" w:cs="Times New Roman"/>
          <w:b/>
          <w:color w:val="000000" w:themeColor="text1"/>
          <w:sz w:val="24"/>
          <w:szCs w:val="24"/>
        </w:rPr>
        <w:t xml:space="preserve">, </w:t>
      </w:r>
      <w:r w:rsidR="005132EC">
        <w:rPr>
          <w:rFonts w:eastAsia="Times New Roman" w:cs="Times New Roman"/>
          <w:color w:val="000000" w:themeColor="text1"/>
          <w:sz w:val="24"/>
          <w:szCs w:val="24"/>
        </w:rPr>
        <w:t xml:space="preserve">measured with the Eurodollar contracts expiring 5 and 6 quarters ahead, respectively. </w:t>
      </w:r>
    </w:p>
    <w:p w:rsidR="007332CB" w:rsidRDefault="007332CB" w:rsidP="001D31EA">
      <w:pPr>
        <w:pStyle w:val="ListParagraph"/>
        <w:jc w:val="both"/>
        <w:rPr>
          <w:rFonts w:eastAsia="Times New Roman" w:cs="Times New Roman"/>
          <w:color w:val="000000" w:themeColor="text1"/>
          <w:sz w:val="24"/>
          <w:szCs w:val="24"/>
        </w:rPr>
      </w:pPr>
    </w:p>
    <w:p w:rsidR="007332CB" w:rsidRDefault="007332CB" w:rsidP="001D31EA">
      <w:pPr>
        <w:pStyle w:val="ListParagraph"/>
        <w:jc w:val="both"/>
        <w:rPr>
          <w:rFonts w:eastAsia="Times New Roman" w:cs="Times New Roman"/>
          <w:color w:val="000000" w:themeColor="text1"/>
          <w:sz w:val="24"/>
          <w:szCs w:val="24"/>
        </w:rPr>
      </w:pPr>
      <w:r>
        <w:rPr>
          <w:rFonts w:eastAsia="Times New Roman" w:cs="Times New Roman"/>
          <w:color w:val="000000" w:themeColor="text1"/>
          <w:sz w:val="24"/>
          <w:szCs w:val="24"/>
        </w:rPr>
        <w:t>The expected policy path is an input into Tables 1-7 and Figure 1.</w:t>
      </w:r>
    </w:p>
    <w:p w:rsidR="00207434" w:rsidRDefault="00207434" w:rsidP="001D31EA">
      <w:pPr>
        <w:pStyle w:val="ListParagraph"/>
        <w:jc w:val="both"/>
        <w:rPr>
          <w:rFonts w:eastAsia="Times New Roman" w:cs="Times New Roman"/>
          <w:color w:val="000000" w:themeColor="text1"/>
          <w:sz w:val="24"/>
          <w:szCs w:val="24"/>
        </w:rPr>
      </w:pPr>
    </w:p>
    <w:p w:rsidR="00207434" w:rsidRPr="00845C8D" w:rsidRDefault="00207434" w:rsidP="00207434">
      <w:pPr>
        <w:pStyle w:val="ListParagraph"/>
        <w:ind w:left="0"/>
        <w:jc w:val="both"/>
        <w:rPr>
          <w:rFonts w:asciiTheme="majorHAnsi" w:hAnsiTheme="majorHAnsi"/>
          <w:b/>
          <w:color w:val="365F91" w:themeColor="accent1" w:themeShade="BF"/>
          <w:sz w:val="28"/>
          <w:szCs w:val="28"/>
        </w:rPr>
      </w:pPr>
      <w:r w:rsidRPr="00845C8D">
        <w:rPr>
          <w:rFonts w:asciiTheme="majorHAnsi" w:hAnsiTheme="majorHAnsi"/>
          <w:b/>
          <w:color w:val="365F91" w:themeColor="accent1" w:themeShade="BF"/>
          <w:sz w:val="28"/>
          <w:szCs w:val="28"/>
        </w:rPr>
        <w:t>Other Asset Prices</w:t>
      </w:r>
    </w:p>
    <w:p w:rsidR="00207434" w:rsidRDefault="00207434" w:rsidP="00207434">
      <w:pPr>
        <w:pStyle w:val="ListParagraph"/>
        <w:ind w:left="0"/>
        <w:jc w:val="both"/>
        <w:rPr>
          <w:rFonts w:asciiTheme="majorHAnsi" w:hAnsiTheme="majorHAnsi"/>
          <w:b/>
          <w:color w:val="0070C0"/>
          <w:sz w:val="28"/>
          <w:szCs w:val="28"/>
        </w:rPr>
      </w:pPr>
    </w:p>
    <w:p w:rsidR="00207434" w:rsidRDefault="00207434" w:rsidP="00207434">
      <w:pPr>
        <w:pStyle w:val="ListParagraph"/>
        <w:jc w:val="both"/>
        <w:rPr>
          <w:rFonts w:cstheme="minorHAnsi"/>
          <w:sz w:val="24"/>
          <w:szCs w:val="24"/>
        </w:rPr>
      </w:pPr>
      <w:r>
        <w:rPr>
          <w:rFonts w:cstheme="minorHAnsi"/>
          <w:sz w:val="24"/>
          <w:szCs w:val="24"/>
        </w:rPr>
        <w:t>The regressions in Section 2 use the following asset price series:</w:t>
      </w:r>
    </w:p>
    <w:p w:rsidR="00207434" w:rsidRDefault="00207434" w:rsidP="00207434">
      <w:pPr>
        <w:pStyle w:val="ListParagraph"/>
        <w:numPr>
          <w:ilvl w:val="0"/>
          <w:numId w:val="5"/>
        </w:numPr>
        <w:jc w:val="both"/>
        <w:rPr>
          <w:rFonts w:cstheme="minorHAnsi"/>
          <w:sz w:val="24"/>
          <w:szCs w:val="24"/>
        </w:rPr>
      </w:pPr>
      <w:r>
        <w:rPr>
          <w:rFonts w:cstheme="minorHAnsi"/>
          <w:sz w:val="24"/>
          <w:szCs w:val="24"/>
        </w:rPr>
        <w:t>Market yield on U.S. Treasury securities at 2-year constant maturity, quoted on investment basis, from Federal Reserve Release H15. Daily Frequency (Federal Reserve Unique Identifier: H15/H15/RIFLGFCY02_N.B)</w:t>
      </w:r>
      <w:r w:rsidR="00D25073">
        <w:rPr>
          <w:rFonts w:cstheme="minorHAnsi"/>
          <w:sz w:val="24"/>
          <w:szCs w:val="24"/>
        </w:rPr>
        <w:t>.</w:t>
      </w:r>
      <w:r>
        <w:rPr>
          <w:rFonts w:cstheme="minorHAnsi"/>
          <w:sz w:val="24"/>
          <w:szCs w:val="24"/>
        </w:rPr>
        <w:t xml:space="preserve"> Downloaded from </w:t>
      </w:r>
      <w:proofErr w:type="spellStart"/>
      <w:r>
        <w:rPr>
          <w:rFonts w:cstheme="minorHAnsi"/>
          <w:sz w:val="24"/>
          <w:szCs w:val="24"/>
        </w:rPr>
        <w:t>Haver</w:t>
      </w:r>
      <w:proofErr w:type="spellEnd"/>
      <w:r>
        <w:rPr>
          <w:rFonts w:cstheme="minorHAnsi"/>
          <w:sz w:val="24"/>
          <w:szCs w:val="24"/>
        </w:rPr>
        <w:t xml:space="preserve"> Analytics (Mnemonic FCM2@DAILY).</w:t>
      </w:r>
    </w:p>
    <w:p w:rsidR="00207434" w:rsidRDefault="00207434" w:rsidP="00207434">
      <w:pPr>
        <w:pStyle w:val="ListParagraph"/>
        <w:numPr>
          <w:ilvl w:val="0"/>
          <w:numId w:val="5"/>
        </w:numPr>
        <w:jc w:val="both"/>
        <w:rPr>
          <w:rFonts w:cstheme="minorHAnsi"/>
          <w:sz w:val="24"/>
          <w:szCs w:val="24"/>
        </w:rPr>
      </w:pPr>
      <w:r w:rsidRPr="00207434">
        <w:rPr>
          <w:rFonts w:cstheme="minorHAnsi"/>
          <w:sz w:val="24"/>
          <w:szCs w:val="24"/>
        </w:rPr>
        <w:t xml:space="preserve">Market yield on U.S. </w:t>
      </w:r>
      <w:r>
        <w:rPr>
          <w:rFonts w:cstheme="minorHAnsi"/>
          <w:sz w:val="24"/>
          <w:szCs w:val="24"/>
        </w:rPr>
        <w:t xml:space="preserve">Treasury securities at 5-year </w:t>
      </w:r>
      <w:r w:rsidRPr="00207434">
        <w:rPr>
          <w:rFonts w:cstheme="minorHAnsi"/>
          <w:sz w:val="24"/>
          <w:szCs w:val="24"/>
        </w:rPr>
        <w:t>constant maturity, quoted on investment basis</w:t>
      </w:r>
      <w:r>
        <w:rPr>
          <w:rFonts w:cstheme="minorHAnsi"/>
          <w:sz w:val="24"/>
          <w:szCs w:val="24"/>
        </w:rPr>
        <w:t>, from Federal Reserve Release H15. Daily Frequency (Federal Reserve Unique Identifier: H15/H15/RIFLGFCY05_N.B)</w:t>
      </w:r>
      <w:r w:rsidR="00D25073">
        <w:rPr>
          <w:rFonts w:cstheme="minorHAnsi"/>
          <w:sz w:val="24"/>
          <w:szCs w:val="24"/>
        </w:rPr>
        <w:t>.</w:t>
      </w:r>
      <w:r>
        <w:rPr>
          <w:rFonts w:cstheme="minorHAnsi"/>
          <w:sz w:val="24"/>
          <w:szCs w:val="24"/>
        </w:rPr>
        <w:t xml:space="preserve"> Downloaded from </w:t>
      </w:r>
      <w:proofErr w:type="spellStart"/>
      <w:r>
        <w:rPr>
          <w:rFonts w:cstheme="minorHAnsi"/>
          <w:sz w:val="24"/>
          <w:szCs w:val="24"/>
        </w:rPr>
        <w:t>Haver</w:t>
      </w:r>
      <w:proofErr w:type="spellEnd"/>
      <w:r>
        <w:rPr>
          <w:rFonts w:cstheme="minorHAnsi"/>
          <w:sz w:val="24"/>
          <w:szCs w:val="24"/>
        </w:rPr>
        <w:t xml:space="preserve"> Analytics (Mnemonic FCM5@DAILY).</w:t>
      </w:r>
    </w:p>
    <w:p w:rsidR="004B15D5" w:rsidRPr="000639F1" w:rsidRDefault="004B15D5" w:rsidP="004B15D5">
      <w:pPr>
        <w:pStyle w:val="ListParagraph"/>
        <w:numPr>
          <w:ilvl w:val="0"/>
          <w:numId w:val="5"/>
        </w:numPr>
        <w:spacing w:after="0" w:line="240" w:lineRule="auto"/>
        <w:jc w:val="both"/>
        <w:rPr>
          <w:rFonts w:ascii="Calibri" w:eastAsia="Times New Roman" w:hAnsi="Calibri" w:cs="Calibri"/>
          <w:color w:val="000000"/>
          <w:sz w:val="24"/>
          <w:szCs w:val="24"/>
        </w:rPr>
      </w:pPr>
      <w:r w:rsidRPr="000639F1">
        <w:rPr>
          <w:rFonts w:ascii="Calibri" w:eastAsia="Times New Roman" w:hAnsi="Calibri" w:cs="Calibri"/>
          <w:color w:val="000000"/>
          <w:sz w:val="24"/>
          <w:szCs w:val="24"/>
        </w:rPr>
        <w:t>Market yield on U.S. T</w:t>
      </w:r>
      <w:r w:rsidR="000639F1">
        <w:rPr>
          <w:rFonts w:ascii="Calibri" w:eastAsia="Times New Roman" w:hAnsi="Calibri" w:cs="Calibri"/>
          <w:color w:val="000000"/>
          <w:sz w:val="24"/>
          <w:szCs w:val="24"/>
        </w:rPr>
        <w:t xml:space="preserve">reasury securities at 10-year </w:t>
      </w:r>
      <w:r w:rsidRPr="000639F1">
        <w:rPr>
          <w:rFonts w:ascii="Calibri" w:eastAsia="Times New Roman" w:hAnsi="Calibri" w:cs="Calibri"/>
          <w:color w:val="000000"/>
          <w:sz w:val="24"/>
          <w:szCs w:val="24"/>
        </w:rPr>
        <w:t>constant maturity, quoted on investment basis</w:t>
      </w:r>
      <w:r w:rsidR="000639F1">
        <w:rPr>
          <w:rFonts w:ascii="Calibri" w:eastAsia="Times New Roman" w:hAnsi="Calibri" w:cs="Calibri"/>
          <w:color w:val="000000"/>
          <w:sz w:val="24"/>
          <w:szCs w:val="24"/>
        </w:rPr>
        <w:t>, from Federal Reserve Release H15. Daily Frequency (Federal Reserve Unique Identifier: H15/H15/RIFLGFCY10_N.B)</w:t>
      </w:r>
      <w:r w:rsidR="00D25073">
        <w:rPr>
          <w:rFonts w:ascii="Calibri" w:eastAsia="Times New Roman" w:hAnsi="Calibri" w:cs="Calibri"/>
          <w:color w:val="000000"/>
          <w:sz w:val="24"/>
          <w:szCs w:val="24"/>
        </w:rPr>
        <w:t xml:space="preserve">. Downloaded from </w:t>
      </w:r>
      <w:proofErr w:type="spellStart"/>
      <w:r w:rsidR="00D25073">
        <w:rPr>
          <w:rFonts w:ascii="Calibri" w:eastAsia="Times New Roman" w:hAnsi="Calibri" w:cs="Calibri"/>
          <w:color w:val="000000"/>
          <w:sz w:val="24"/>
          <w:szCs w:val="24"/>
        </w:rPr>
        <w:t>Haver</w:t>
      </w:r>
      <w:proofErr w:type="spellEnd"/>
      <w:r w:rsidR="00D25073">
        <w:rPr>
          <w:rFonts w:ascii="Calibri" w:eastAsia="Times New Roman" w:hAnsi="Calibri" w:cs="Calibri"/>
          <w:color w:val="000000"/>
          <w:sz w:val="24"/>
          <w:szCs w:val="24"/>
        </w:rPr>
        <w:t xml:space="preserve"> Analytics (Mnemonic FCM10@DAILY)</w:t>
      </w:r>
      <w:r w:rsidR="000639F1">
        <w:rPr>
          <w:rFonts w:ascii="Calibri" w:eastAsia="Times New Roman" w:hAnsi="Calibri" w:cs="Calibri"/>
          <w:color w:val="000000"/>
          <w:sz w:val="24"/>
          <w:szCs w:val="24"/>
        </w:rPr>
        <w:t>.</w:t>
      </w:r>
    </w:p>
    <w:p w:rsidR="004B15D5" w:rsidRDefault="00D25073" w:rsidP="00207434">
      <w:pPr>
        <w:pStyle w:val="ListParagraph"/>
        <w:numPr>
          <w:ilvl w:val="0"/>
          <w:numId w:val="5"/>
        </w:numPr>
        <w:jc w:val="both"/>
        <w:rPr>
          <w:rFonts w:cstheme="minorHAnsi"/>
          <w:sz w:val="24"/>
          <w:szCs w:val="24"/>
        </w:rPr>
      </w:pPr>
      <w:r>
        <w:rPr>
          <w:rFonts w:cstheme="minorHAnsi"/>
          <w:sz w:val="24"/>
          <w:szCs w:val="24"/>
        </w:rPr>
        <w:lastRenderedPageBreak/>
        <w:t xml:space="preserve">Moody’s Yield on Seasoned Corporate Bonds – All Industries, AAA; from Federal Reserve Release H15. Daily Frequency (Federal Reserve Unique Identifier: H15/H15/RIMLPAAAR_N.B). Downloaded from </w:t>
      </w:r>
      <w:proofErr w:type="spellStart"/>
      <w:r>
        <w:rPr>
          <w:rFonts w:cstheme="minorHAnsi"/>
          <w:sz w:val="24"/>
          <w:szCs w:val="24"/>
        </w:rPr>
        <w:t>Haver</w:t>
      </w:r>
      <w:proofErr w:type="spellEnd"/>
      <w:r>
        <w:rPr>
          <w:rFonts w:cstheme="minorHAnsi"/>
          <w:sz w:val="24"/>
          <w:szCs w:val="24"/>
        </w:rPr>
        <w:t xml:space="preserve"> Analytics (Mnemonic FAAA@DAILY).</w:t>
      </w:r>
    </w:p>
    <w:p w:rsidR="00D25073" w:rsidRDefault="00D25073" w:rsidP="00207434">
      <w:pPr>
        <w:pStyle w:val="ListParagraph"/>
        <w:numPr>
          <w:ilvl w:val="0"/>
          <w:numId w:val="5"/>
        </w:numPr>
        <w:jc w:val="both"/>
        <w:rPr>
          <w:rFonts w:cstheme="minorHAnsi"/>
          <w:sz w:val="24"/>
          <w:szCs w:val="24"/>
        </w:rPr>
      </w:pPr>
      <w:r>
        <w:rPr>
          <w:rFonts w:cstheme="minorHAnsi"/>
          <w:sz w:val="24"/>
          <w:szCs w:val="24"/>
        </w:rPr>
        <w:t xml:space="preserve">Moody’s Yield on Seasoned Corporate Bonds – All Industries, BAA; from Federal Reserve Release H15. Daily Frequency (Federal Reserve Unique Identifier: H15/H15/RIMLPBAAR_N.B). Downloaded from </w:t>
      </w:r>
      <w:proofErr w:type="spellStart"/>
      <w:r>
        <w:rPr>
          <w:rFonts w:cstheme="minorHAnsi"/>
          <w:sz w:val="24"/>
          <w:szCs w:val="24"/>
        </w:rPr>
        <w:t>Haver</w:t>
      </w:r>
      <w:proofErr w:type="spellEnd"/>
      <w:r>
        <w:rPr>
          <w:rFonts w:cstheme="minorHAnsi"/>
          <w:sz w:val="24"/>
          <w:szCs w:val="24"/>
        </w:rPr>
        <w:t xml:space="preserve"> Analytics (Mnemonic FBAA@DAILY).</w:t>
      </w:r>
    </w:p>
    <w:p w:rsidR="006D53D7" w:rsidRPr="006D53D7" w:rsidRDefault="006D53D7" w:rsidP="006D53D7">
      <w:pPr>
        <w:ind w:left="720"/>
        <w:jc w:val="both"/>
        <w:rPr>
          <w:rFonts w:cstheme="minorHAnsi"/>
          <w:sz w:val="24"/>
          <w:szCs w:val="24"/>
        </w:rPr>
      </w:pPr>
      <w:r>
        <w:rPr>
          <w:rFonts w:cstheme="minorHAnsi"/>
          <w:sz w:val="24"/>
          <w:szCs w:val="24"/>
        </w:rPr>
        <w:t>These series influence Tables 2 and 6.</w:t>
      </w:r>
    </w:p>
    <w:p w:rsidR="005A56B5" w:rsidRDefault="005A56B5" w:rsidP="008F1468">
      <w:pPr>
        <w:pStyle w:val="Heading1"/>
      </w:pPr>
      <w:r>
        <w:t>Blue Chip Economic Indicators</w:t>
      </w:r>
      <w:r w:rsidRPr="005A56B5">
        <w:t>®</w:t>
      </w:r>
    </w:p>
    <w:p w:rsidR="008F1468" w:rsidRPr="008F1468" w:rsidRDefault="008F1468" w:rsidP="008F1468"/>
    <w:p w:rsidR="00BA44BE" w:rsidRDefault="005A56B5" w:rsidP="004B45C0">
      <w:pPr>
        <w:ind w:left="720"/>
        <w:jc w:val="both"/>
        <w:rPr>
          <w:sz w:val="24"/>
          <w:szCs w:val="24"/>
        </w:rPr>
      </w:pPr>
      <w:r>
        <w:rPr>
          <w:sz w:val="24"/>
          <w:szCs w:val="24"/>
        </w:rPr>
        <w:t>We use the Blue Chip Economic Indicators</w:t>
      </w:r>
      <w:r w:rsidRPr="005A56B5">
        <w:rPr>
          <w:sz w:val="24"/>
          <w:szCs w:val="24"/>
        </w:rPr>
        <w:t>®</w:t>
      </w:r>
      <w:r>
        <w:rPr>
          <w:sz w:val="24"/>
          <w:szCs w:val="24"/>
        </w:rPr>
        <w:t xml:space="preserve"> Archive of U.S. Consensus Forecasts to measure private expectations </w:t>
      </w:r>
      <w:r w:rsidR="00FD21CA">
        <w:rPr>
          <w:sz w:val="24"/>
          <w:szCs w:val="24"/>
        </w:rPr>
        <w:t>of inflation and unemployment for the previous quarter, the current quarter, and the four following quarters</w:t>
      </w:r>
      <w:r w:rsidR="00BA44BE">
        <w:rPr>
          <w:sz w:val="24"/>
          <w:szCs w:val="24"/>
        </w:rPr>
        <w:t>. We use this for two tasks, estimating the responses of private forecasts to monetary policy innovations (reported in Tables 3 and 6) and estimating the interest rate rule and its associated forward guidance.</w:t>
      </w:r>
      <w:r w:rsidR="004B45C0">
        <w:rPr>
          <w:sz w:val="24"/>
          <w:szCs w:val="24"/>
        </w:rPr>
        <w:t xml:space="preserve"> </w:t>
      </w:r>
    </w:p>
    <w:p w:rsidR="005A56B5" w:rsidRDefault="004B45C0" w:rsidP="005A56B5">
      <w:pPr>
        <w:ind w:left="720"/>
        <w:jc w:val="both"/>
        <w:rPr>
          <w:sz w:val="24"/>
          <w:szCs w:val="24"/>
        </w:rPr>
      </w:pPr>
      <w:r>
        <w:rPr>
          <w:sz w:val="24"/>
          <w:szCs w:val="24"/>
        </w:rPr>
        <w:t xml:space="preserve">Blue Chip surveys its respondent forecasters once a month about macroeconomic conditions for all incomplete quarters in the current and next calendar year as well as about the most recently completed quarter in January, April, July, and October. These monthly observations of quarterly expectations are what we use to estimate the responses of private forecasts to monetary policy innovations. </w:t>
      </w:r>
      <w:r w:rsidR="00BA44BE">
        <w:rPr>
          <w:sz w:val="24"/>
          <w:szCs w:val="24"/>
        </w:rPr>
        <w:t>For the interest rate rule estimation, we measure expectations</w:t>
      </w:r>
      <w:r w:rsidR="00FD21CA">
        <w:rPr>
          <w:sz w:val="24"/>
          <w:szCs w:val="24"/>
        </w:rPr>
        <w:t xml:space="preserve"> as of the beginning of the current quarter. For this, we employ the consensus forecasts drawn from the survey conducted at the beginning of each quarter’s first month and published on or about the 10</w:t>
      </w:r>
      <w:r w:rsidR="00FD21CA" w:rsidRPr="00FD21CA">
        <w:rPr>
          <w:sz w:val="24"/>
          <w:szCs w:val="24"/>
          <w:vertAlign w:val="superscript"/>
        </w:rPr>
        <w:t>th</w:t>
      </w:r>
      <w:r w:rsidR="00FD21CA">
        <w:rPr>
          <w:sz w:val="24"/>
          <w:szCs w:val="24"/>
        </w:rPr>
        <w:t xml:space="preserve"> of that month. Our estimation also requires measures of long-run expectations for inflation and unemployment. For this, we use the most recently reported consensus average forecast for the 7-11 years following the current calendar year. Blue Chip reports these each March and October. These are </w:t>
      </w:r>
      <w:r w:rsidR="00FD21CA">
        <w:rPr>
          <w:i/>
          <w:sz w:val="24"/>
          <w:szCs w:val="24"/>
        </w:rPr>
        <w:t>not</w:t>
      </w:r>
      <w:r w:rsidR="00FD21CA">
        <w:rPr>
          <w:sz w:val="24"/>
          <w:szCs w:val="24"/>
        </w:rPr>
        <w:t xml:space="preserve"> in</w:t>
      </w:r>
      <w:r w:rsidR="0064290F">
        <w:rPr>
          <w:sz w:val="24"/>
          <w:szCs w:val="24"/>
        </w:rPr>
        <w:t xml:space="preserve"> the Archive, so we obtained these from available hard copies of the Blue Chip Economic Indicators</w:t>
      </w:r>
      <w:r w:rsidR="0064290F" w:rsidRPr="0064290F">
        <w:rPr>
          <w:sz w:val="24"/>
          <w:szCs w:val="24"/>
        </w:rPr>
        <w:t>®</w:t>
      </w:r>
      <w:r w:rsidR="0064290F">
        <w:rPr>
          <w:sz w:val="24"/>
          <w:szCs w:val="24"/>
        </w:rPr>
        <w:t xml:space="preserve"> report. </w:t>
      </w:r>
    </w:p>
    <w:p w:rsidR="0064290F" w:rsidRDefault="0064290F" w:rsidP="005A56B5">
      <w:pPr>
        <w:ind w:left="720"/>
        <w:jc w:val="both"/>
        <w:rPr>
          <w:sz w:val="24"/>
          <w:szCs w:val="24"/>
        </w:rPr>
      </w:pPr>
      <w:r>
        <w:rPr>
          <w:sz w:val="24"/>
          <w:szCs w:val="24"/>
        </w:rPr>
        <w:t>To be more specific</w:t>
      </w:r>
      <w:r w:rsidR="00054E65">
        <w:rPr>
          <w:sz w:val="24"/>
          <w:szCs w:val="24"/>
        </w:rPr>
        <w:t xml:space="preserve"> </w:t>
      </w:r>
      <w:r w:rsidR="004840FE">
        <w:rPr>
          <w:sz w:val="24"/>
          <w:szCs w:val="24"/>
        </w:rPr>
        <w:t>we use</w:t>
      </w:r>
    </w:p>
    <w:p w:rsidR="004B45C0" w:rsidRDefault="004B45C0" w:rsidP="0064290F">
      <w:pPr>
        <w:pStyle w:val="ListParagraph"/>
        <w:numPr>
          <w:ilvl w:val="0"/>
          <w:numId w:val="1"/>
        </w:numPr>
        <w:jc w:val="both"/>
        <w:rPr>
          <w:sz w:val="24"/>
          <w:szCs w:val="24"/>
        </w:rPr>
      </w:pPr>
      <w:r>
        <w:rPr>
          <w:sz w:val="24"/>
          <w:szCs w:val="24"/>
        </w:rPr>
        <w:t>The consensus forecast</w:t>
      </w:r>
      <w:r w:rsidR="00054E65">
        <w:rPr>
          <w:sz w:val="24"/>
          <w:szCs w:val="24"/>
        </w:rPr>
        <w:t xml:space="preserve"> of the Unemployment Rate</w:t>
      </w:r>
      <w:r>
        <w:rPr>
          <w:sz w:val="24"/>
          <w:szCs w:val="24"/>
        </w:rPr>
        <w:t xml:space="preserve"> for the previous quarter and the next four quarters from January 1989 through December 2011. Only the </w:t>
      </w:r>
      <w:r>
        <w:rPr>
          <w:sz w:val="24"/>
          <w:szCs w:val="24"/>
        </w:rPr>
        <w:lastRenderedPageBreak/>
        <w:t>expectations reported in a quarter’s first month enter the interest rate rule estimation.</w:t>
      </w:r>
    </w:p>
    <w:p w:rsidR="0064290F" w:rsidRDefault="0064290F" w:rsidP="0064290F">
      <w:pPr>
        <w:pStyle w:val="ListParagraph"/>
        <w:numPr>
          <w:ilvl w:val="0"/>
          <w:numId w:val="1"/>
        </w:numPr>
        <w:jc w:val="both"/>
        <w:rPr>
          <w:sz w:val="24"/>
          <w:szCs w:val="24"/>
        </w:rPr>
      </w:pPr>
      <w:r>
        <w:rPr>
          <w:sz w:val="24"/>
          <w:szCs w:val="24"/>
        </w:rPr>
        <w:t>The consensus forecast</w:t>
      </w:r>
      <w:r w:rsidR="00054E65">
        <w:rPr>
          <w:sz w:val="24"/>
          <w:szCs w:val="24"/>
        </w:rPr>
        <w:t xml:space="preserve"> of the Unemployment Rate</w:t>
      </w:r>
      <w:r>
        <w:rPr>
          <w:sz w:val="24"/>
          <w:szCs w:val="24"/>
        </w:rPr>
        <w:t xml:space="preserve"> </w:t>
      </w:r>
      <w:r w:rsidR="00067253">
        <w:rPr>
          <w:sz w:val="24"/>
          <w:szCs w:val="24"/>
        </w:rPr>
        <w:t>for the previous as reported from the survey conducted at the beginning of each quarter’s first month, from 1982:II through 2011:IV</w:t>
      </w:r>
    </w:p>
    <w:p w:rsidR="004B45C0" w:rsidRDefault="00054E65" w:rsidP="0064290F">
      <w:pPr>
        <w:pStyle w:val="ListParagraph"/>
        <w:numPr>
          <w:ilvl w:val="0"/>
          <w:numId w:val="1"/>
        </w:numPr>
        <w:jc w:val="both"/>
        <w:rPr>
          <w:sz w:val="24"/>
          <w:szCs w:val="24"/>
        </w:rPr>
      </w:pPr>
      <w:r>
        <w:rPr>
          <w:sz w:val="24"/>
          <w:szCs w:val="24"/>
        </w:rPr>
        <w:t>The consensus forecast of the Unemployment R</w:t>
      </w:r>
      <w:r w:rsidR="004B45C0">
        <w:rPr>
          <w:sz w:val="24"/>
          <w:szCs w:val="24"/>
        </w:rPr>
        <w:t>ate averaged across the 7 to 11 calendar years following the current calendar year as given in the March and October reports from 1989 through 2011.</w:t>
      </w:r>
    </w:p>
    <w:p w:rsidR="00054E65" w:rsidRDefault="00054E65" w:rsidP="00054E65">
      <w:pPr>
        <w:pStyle w:val="ListParagraph"/>
        <w:numPr>
          <w:ilvl w:val="0"/>
          <w:numId w:val="1"/>
        </w:numPr>
        <w:jc w:val="both"/>
        <w:rPr>
          <w:sz w:val="24"/>
          <w:szCs w:val="24"/>
        </w:rPr>
      </w:pPr>
      <w:r>
        <w:rPr>
          <w:sz w:val="24"/>
          <w:szCs w:val="24"/>
        </w:rPr>
        <w:t>The consensus forecast of Consumer Price Index Inflation for the previous quarter and the next four quarters from January 1989 through December 2011. Only the expectations reported in a quarter’s first month enter the interest rate rule estimation.</w:t>
      </w:r>
    </w:p>
    <w:p w:rsidR="00054E65" w:rsidRDefault="00054E65" w:rsidP="00054E65">
      <w:pPr>
        <w:pStyle w:val="ListParagraph"/>
        <w:numPr>
          <w:ilvl w:val="0"/>
          <w:numId w:val="1"/>
        </w:numPr>
        <w:jc w:val="both"/>
        <w:rPr>
          <w:sz w:val="24"/>
          <w:szCs w:val="24"/>
        </w:rPr>
      </w:pPr>
      <w:r>
        <w:rPr>
          <w:sz w:val="24"/>
          <w:szCs w:val="24"/>
        </w:rPr>
        <w:t>The consensus forecast of Consumer Price Index Inflation for the previous as reported from the survey conducted at the beginning of each quarter’s first month, from 1982:II through 2011:IV</w:t>
      </w:r>
    </w:p>
    <w:p w:rsidR="00E35242" w:rsidRPr="00E35242" w:rsidRDefault="00E35242" w:rsidP="00E35242">
      <w:pPr>
        <w:jc w:val="both"/>
        <w:rPr>
          <w:sz w:val="24"/>
          <w:szCs w:val="24"/>
        </w:rPr>
      </w:pPr>
      <w:r>
        <w:rPr>
          <w:sz w:val="24"/>
          <w:szCs w:val="24"/>
        </w:rPr>
        <w:t>The Blue Chip data influence Tables 3, 7, 8, and 9; Figures 2, 3, and 4; the estimated interest rate rule reported in Section II.B; and the correlation matrix reported in Section II.C.</w:t>
      </w:r>
    </w:p>
    <w:p w:rsidR="00054E65" w:rsidRDefault="00FC65E0" w:rsidP="00094DC1">
      <w:pPr>
        <w:jc w:val="both"/>
      </w:pPr>
      <w:r>
        <w:rPr>
          <w:sz w:val="24"/>
          <w:szCs w:val="24"/>
        </w:rPr>
        <w:t>These data are Copyright 2012 CCH Incorporated, All Rights Reserved. We reproduce them here with the permission of the copyright holder. To purchase the Archive</w:t>
      </w:r>
      <w:r w:rsidR="00094DC1">
        <w:rPr>
          <w:sz w:val="24"/>
          <w:szCs w:val="24"/>
        </w:rPr>
        <w:t xml:space="preserve"> of U.S. Consensus Forecasts</w:t>
      </w:r>
      <w:r>
        <w:rPr>
          <w:sz w:val="24"/>
          <w:szCs w:val="24"/>
        </w:rPr>
        <w:t xml:space="preserve">, visit </w:t>
      </w:r>
      <w:hyperlink r:id="rId6" w:history="1">
        <w:r>
          <w:rPr>
            <w:rStyle w:val="Hyperlink"/>
          </w:rPr>
          <w:t>http://www.aspenpublishers.com/blue-chip-publications.htm</w:t>
        </w:r>
      </w:hyperlink>
      <w:r w:rsidR="00094DC1">
        <w:t>.</w:t>
      </w:r>
    </w:p>
    <w:p w:rsidR="00845C8D" w:rsidRDefault="00845C8D" w:rsidP="00094DC1">
      <w:pPr>
        <w:jc w:val="both"/>
        <w:rPr>
          <w:rFonts w:asciiTheme="majorHAnsi" w:hAnsiTheme="majorHAnsi"/>
          <w:b/>
          <w:color w:val="365F91" w:themeColor="accent1" w:themeShade="BF"/>
          <w:sz w:val="28"/>
          <w:szCs w:val="28"/>
        </w:rPr>
      </w:pPr>
      <w:r w:rsidRPr="00845C8D">
        <w:rPr>
          <w:rFonts w:asciiTheme="majorHAnsi" w:hAnsiTheme="majorHAnsi"/>
          <w:b/>
          <w:color w:val="365F91" w:themeColor="accent1" w:themeShade="BF"/>
          <w:sz w:val="28"/>
          <w:szCs w:val="28"/>
        </w:rPr>
        <w:t>Bureau of Labor Statistics Data</w:t>
      </w:r>
    </w:p>
    <w:p w:rsidR="00845C8D" w:rsidRPr="00845C8D" w:rsidRDefault="00845C8D" w:rsidP="00094DC1">
      <w:pPr>
        <w:jc w:val="both"/>
        <w:rPr>
          <w:rFonts w:cstheme="minorHAnsi"/>
          <w:sz w:val="24"/>
          <w:szCs w:val="24"/>
        </w:rPr>
      </w:pPr>
      <w:r>
        <w:rPr>
          <w:rFonts w:cstheme="minorHAnsi"/>
          <w:sz w:val="24"/>
          <w:szCs w:val="24"/>
        </w:rPr>
        <w:t>The estimation of the interest rate rule uses seasonally adjusted observations of the Civilian Unemployment Rate (</w:t>
      </w:r>
      <w:proofErr w:type="spellStart"/>
      <w:r>
        <w:rPr>
          <w:rFonts w:cstheme="minorHAnsi"/>
          <w:sz w:val="24"/>
          <w:szCs w:val="24"/>
        </w:rPr>
        <w:t>Haver</w:t>
      </w:r>
      <w:proofErr w:type="spellEnd"/>
      <w:r>
        <w:rPr>
          <w:rFonts w:cstheme="minorHAnsi"/>
          <w:sz w:val="24"/>
          <w:szCs w:val="24"/>
        </w:rPr>
        <w:t xml:space="preserve"> Mnemonic LR@USECON) and the Consumer Price Index for Urban Consumers, All Items (</w:t>
      </w:r>
      <w:proofErr w:type="spellStart"/>
      <w:r>
        <w:rPr>
          <w:rFonts w:cstheme="minorHAnsi"/>
          <w:sz w:val="24"/>
          <w:szCs w:val="24"/>
        </w:rPr>
        <w:t>Haver</w:t>
      </w:r>
      <w:proofErr w:type="spellEnd"/>
      <w:r>
        <w:rPr>
          <w:rFonts w:cstheme="minorHAnsi"/>
          <w:sz w:val="24"/>
          <w:szCs w:val="24"/>
        </w:rPr>
        <w:t xml:space="preserve"> Mnemonic PCU@USECON).</w:t>
      </w:r>
    </w:p>
    <w:p w:rsidR="00ED0043" w:rsidRDefault="00ED0043" w:rsidP="00ED0043">
      <w:pPr>
        <w:pStyle w:val="Heading1"/>
      </w:pPr>
      <w:r>
        <w:t xml:space="preserve">DSGE </w:t>
      </w:r>
    </w:p>
    <w:p w:rsidR="00ED0043" w:rsidRDefault="00ED0043" w:rsidP="00ED0043">
      <w:pPr>
        <w:spacing w:after="0" w:line="240" w:lineRule="auto"/>
        <w:rPr>
          <w:rFonts w:ascii="Arial" w:eastAsia="Times New Roman" w:hAnsi="Arial" w:cs="Arial"/>
          <w:color w:val="000000"/>
          <w:sz w:val="28"/>
          <w:szCs w:val="28"/>
        </w:rPr>
      </w:pPr>
    </w:p>
    <w:p w:rsidR="0096360B" w:rsidRPr="0096360B" w:rsidRDefault="00ED0043" w:rsidP="0096360B">
      <w:pPr>
        <w:spacing w:after="0" w:line="240" w:lineRule="auto"/>
        <w:rPr>
          <w:rFonts w:eastAsia="Times New Roman" w:cs="Arial"/>
          <w:color w:val="000000"/>
          <w:sz w:val="24"/>
          <w:szCs w:val="24"/>
        </w:rPr>
      </w:pPr>
      <w:r w:rsidRPr="0096360B">
        <w:rPr>
          <w:rFonts w:eastAsia="Times New Roman" w:cs="Arial"/>
          <w:color w:val="000000"/>
          <w:sz w:val="24"/>
          <w:szCs w:val="24"/>
        </w:rPr>
        <w:t xml:space="preserve">The main code is </w:t>
      </w:r>
      <w:proofErr w:type="spellStart"/>
      <w:r w:rsidRPr="0096360B">
        <w:rPr>
          <w:rFonts w:eastAsia="Times New Roman" w:cs="Arial"/>
          <w:i/>
          <w:color w:val="000000"/>
          <w:sz w:val="24"/>
          <w:szCs w:val="24"/>
        </w:rPr>
        <w:t>DSGEMain.m</w:t>
      </w:r>
      <w:proofErr w:type="spellEnd"/>
      <w:r w:rsidR="0096360B" w:rsidRPr="0096360B">
        <w:rPr>
          <w:rFonts w:eastAsia="Times New Roman" w:cs="Arial"/>
          <w:color w:val="000000"/>
          <w:sz w:val="24"/>
          <w:szCs w:val="24"/>
        </w:rPr>
        <w:t xml:space="preserve">. To run this code you will also need a valid license for </w:t>
      </w:r>
      <w:proofErr w:type="spellStart"/>
      <w:r w:rsidR="0096360B" w:rsidRPr="0096360B">
        <w:rPr>
          <w:rFonts w:eastAsia="Times New Roman" w:cs="Arial"/>
          <w:color w:val="000000"/>
          <w:sz w:val="24"/>
          <w:szCs w:val="24"/>
        </w:rPr>
        <w:t>Matlab’s</w:t>
      </w:r>
      <w:proofErr w:type="spellEnd"/>
      <w:r w:rsidR="0096360B" w:rsidRPr="0096360B">
        <w:rPr>
          <w:rFonts w:eastAsia="Times New Roman" w:cs="Arial"/>
          <w:color w:val="000000"/>
          <w:sz w:val="24"/>
          <w:szCs w:val="24"/>
        </w:rPr>
        <w:t xml:space="preserve"> </w:t>
      </w:r>
      <w:r w:rsidR="0096360B" w:rsidRPr="0096360B">
        <w:rPr>
          <w:rFonts w:eastAsia="Times New Roman" w:cs="Arial"/>
          <w:i/>
          <w:color w:val="000000"/>
          <w:sz w:val="24"/>
          <w:szCs w:val="24"/>
        </w:rPr>
        <w:t>Optimization</w:t>
      </w:r>
      <w:r w:rsidR="0096360B" w:rsidRPr="0096360B">
        <w:rPr>
          <w:rFonts w:eastAsia="Times New Roman" w:cs="Arial"/>
          <w:color w:val="000000"/>
          <w:sz w:val="24"/>
          <w:szCs w:val="24"/>
        </w:rPr>
        <w:t xml:space="preserve"> Toolbox, NONE of whose components are included here. </w:t>
      </w:r>
    </w:p>
    <w:p w:rsidR="0096360B" w:rsidRPr="0096360B" w:rsidRDefault="0096360B" w:rsidP="0096360B">
      <w:pPr>
        <w:spacing w:after="0" w:line="240" w:lineRule="auto"/>
        <w:rPr>
          <w:rFonts w:eastAsia="Times New Roman" w:cs="Arial"/>
          <w:color w:val="000000"/>
          <w:sz w:val="24"/>
          <w:szCs w:val="24"/>
        </w:rPr>
      </w:pPr>
    </w:p>
    <w:p w:rsidR="0096360B" w:rsidRPr="0096360B" w:rsidRDefault="0096360B" w:rsidP="0096360B">
      <w:pPr>
        <w:spacing w:after="0" w:line="240" w:lineRule="auto"/>
        <w:rPr>
          <w:rFonts w:eastAsia="Times New Roman" w:cs="Arial"/>
          <w:color w:val="000000"/>
          <w:sz w:val="24"/>
          <w:szCs w:val="24"/>
        </w:rPr>
      </w:pPr>
      <w:proofErr w:type="spellStart"/>
      <w:r w:rsidRPr="0096360B">
        <w:rPr>
          <w:rFonts w:eastAsia="Times New Roman" w:cs="Arial"/>
          <w:color w:val="000000"/>
          <w:sz w:val="24"/>
          <w:szCs w:val="24"/>
        </w:rPr>
        <w:t>Matlab</w:t>
      </w:r>
      <w:proofErr w:type="spellEnd"/>
      <w:r w:rsidRPr="0096360B">
        <w:rPr>
          <w:rFonts w:eastAsia="Times New Roman" w:cs="Arial"/>
          <w:color w:val="000000"/>
          <w:sz w:val="24"/>
          <w:szCs w:val="24"/>
        </w:rPr>
        <w:t xml:space="preserve"> is a product of </w:t>
      </w:r>
      <w:proofErr w:type="spellStart"/>
      <w:proofErr w:type="gramStart"/>
      <w:r w:rsidRPr="0096360B">
        <w:rPr>
          <w:rFonts w:eastAsia="Times New Roman" w:cs="Arial"/>
          <w:color w:val="000000"/>
          <w:sz w:val="24"/>
          <w:szCs w:val="24"/>
        </w:rPr>
        <w:t>Mathworks</w:t>
      </w:r>
      <w:proofErr w:type="spellEnd"/>
      <w:r w:rsidRPr="0096360B">
        <w:rPr>
          <w:rFonts w:eastAsia="Times New Roman" w:cs="Arial"/>
          <w:color w:val="000000"/>
          <w:sz w:val="24"/>
          <w:szCs w:val="24"/>
        </w:rPr>
        <w:t>,</w:t>
      </w:r>
      <w:proofErr w:type="gramEnd"/>
      <w:r w:rsidRPr="0096360B">
        <w:rPr>
          <w:rFonts w:eastAsia="Times New Roman" w:cs="Arial"/>
          <w:color w:val="000000"/>
          <w:sz w:val="24"/>
          <w:szCs w:val="24"/>
        </w:rPr>
        <w:t xml:space="preserve"> see </w:t>
      </w:r>
      <w:hyperlink r:id="rId7" w:history="1">
        <w:r w:rsidRPr="0096360B">
          <w:rPr>
            <w:rStyle w:val="Hyperlink"/>
            <w:rFonts w:eastAsia="Times New Roman" w:cs="Arial"/>
            <w:sz w:val="24"/>
            <w:szCs w:val="24"/>
          </w:rPr>
          <w:t>www.mathworks/com</w:t>
        </w:r>
      </w:hyperlink>
      <w:r w:rsidRPr="0096360B">
        <w:rPr>
          <w:rFonts w:eastAsia="Times New Roman" w:cs="Arial"/>
          <w:color w:val="000000"/>
          <w:sz w:val="24"/>
          <w:szCs w:val="24"/>
        </w:rPr>
        <w:t xml:space="preserve"> for further details on these toolboxes.</w:t>
      </w:r>
    </w:p>
    <w:p w:rsidR="0096360B" w:rsidRPr="0096360B" w:rsidRDefault="0096360B" w:rsidP="0096360B">
      <w:pPr>
        <w:spacing w:after="0" w:line="240" w:lineRule="auto"/>
        <w:rPr>
          <w:rFonts w:eastAsia="Times New Roman" w:cs="Arial"/>
          <w:color w:val="000000"/>
          <w:sz w:val="24"/>
          <w:szCs w:val="24"/>
        </w:rPr>
      </w:pPr>
      <w:r w:rsidRPr="0096360B">
        <w:rPr>
          <w:rFonts w:eastAsia="Times New Roman" w:cs="Arial"/>
          <w:color w:val="000000"/>
          <w:sz w:val="24"/>
          <w:szCs w:val="24"/>
        </w:rPr>
        <w:t xml:space="preserve"> </w:t>
      </w:r>
    </w:p>
    <w:p w:rsidR="0096360B" w:rsidRPr="0096360B" w:rsidRDefault="0096360B" w:rsidP="0096360B">
      <w:pPr>
        <w:spacing w:after="0" w:line="240" w:lineRule="auto"/>
        <w:rPr>
          <w:rFonts w:eastAsia="Times New Roman" w:cs="Arial"/>
          <w:color w:val="000000"/>
          <w:sz w:val="24"/>
          <w:szCs w:val="24"/>
        </w:rPr>
      </w:pPr>
      <w:r w:rsidRPr="0096360B">
        <w:rPr>
          <w:rFonts w:eastAsia="Times New Roman" w:cs="Arial"/>
          <w:color w:val="000000"/>
          <w:sz w:val="24"/>
          <w:szCs w:val="24"/>
        </w:rPr>
        <w:t xml:space="preserve">Note that when this code runs, all m-files in the subfolder </w:t>
      </w:r>
      <w:r w:rsidRPr="0096360B">
        <w:rPr>
          <w:rFonts w:eastAsia="Times New Roman" w:cs="Arial"/>
          <w:i/>
          <w:color w:val="000000"/>
          <w:sz w:val="24"/>
          <w:szCs w:val="24"/>
        </w:rPr>
        <w:t>Utilities</w:t>
      </w:r>
      <w:r w:rsidRPr="0096360B">
        <w:rPr>
          <w:rFonts w:eastAsia="Times New Roman" w:cs="Arial"/>
          <w:color w:val="000000"/>
          <w:sz w:val="24"/>
          <w:szCs w:val="24"/>
        </w:rPr>
        <w:t xml:space="preserve"> will be added to the toolbox cache and may conflict with your own m-files if the names match. </w:t>
      </w:r>
    </w:p>
    <w:p w:rsidR="00ED0043" w:rsidRPr="00F71CF9" w:rsidRDefault="00ED0043" w:rsidP="00ED0043">
      <w:pPr>
        <w:spacing w:after="0" w:line="240" w:lineRule="auto"/>
        <w:rPr>
          <w:rFonts w:eastAsia="Times New Roman" w:cs="Arial"/>
          <w:color w:val="000000"/>
          <w:sz w:val="24"/>
          <w:szCs w:val="24"/>
        </w:rPr>
      </w:pPr>
    </w:p>
    <w:p w:rsidR="00ED0043" w:rsidRPr="00F71CF9" w:rsidRDefault="00ED0043" w:rsidP="00ED0043">
      <w:pPr>
        <w:spacing w:after="0" w:line="240" w:lineRule="auto"/>
        <w:rPr>
          <w:rFonts w:eastAsia="Times New Roman" w:cs="Arial"/>
          <w:color w:val="000000"/>
          <w:sz w:val="24"/>
          <w:szCs w:val="24"/>
        </w:rPr>
      </w:pPr>
    </w:p>
    <w:p w:rsidR="00ED0043" w:rsidRPr="00F71CF9" w:rsidRDefault="00ED0043" w:rsidP="00ED0043">
      <w:pPr>
        <w:spacing w:after="0" w:line="240" w:lineRule="auto"/>
        <w:rPr>
          <w:rFonts w:eastAsia="Times New Roman" w:cs="Arial"/>
          <w:color w:val="000000"/>
          <w:sz w:val="24"/>
          <w:szCs w:val="24"/>
        </w:rPr>
      </w:pPr>
      <w:r w:rsidRPr="00F71CF9">
        <w:rPr>
          <w:rFonts w:eastAsia="Times New Roman" w:cs="Arial"/>
          <w:color w:val="000000"/>
          <w:sz w:val="24"/>
          <w:szCs w:val="24"/>
        </w:rPr>
        <w:t xml:space="preserve">The code loads the workspace BrookingsWorkspace.mat, which includes the following variables. </w:t>
      </w:r>
    </w:p>
    <w:p w:rsidR="00ED0043" w:rsidRPr="00F71CF9" w:rsidRDefault="00ED0043" w:rsidP="00ED0043">
      <w:pPr>
        <w:spacing w:after="0" w:line="240" w:lineRule="auto"/>
        <w:rPr>
          <w:rFonts w:eastAsia="Times New Roman" w:cs="Arial"/>
          <w:color w:val="000000"/>
          <w:sz w:val="24"/>
          <w:szCs w:val="24"/>
        </w:rPr>
      </w:pPr>
    </w:p>
    <w:p w:rsidR="00ED0043" w:rsidRPr="00F71CF9" w:rsidRDefault="00ED0043" w:rsidP="00ED0043">
      <w:pPr>
        <w:pStyle w:val="ListParagraph"/>
        <w:numPr>
          <w:ilvl w:val="0"/>
          <w:numId w:val="4"/>
        </w:numPr>
        <w:spacing w:after="0" w:line="240" w:lineRule="auto"/>
        <w:rPr>
          <w:rFonts w:eastAsia="Times New Roman" w:cs="Arial"/>
          <w:color w:val="000000"/>
          <w:sz w:val="24"/>
          <w:szCs w:val="24"/>
        </w:rPr>
      </w:pPr>
      <w:r w:rsidRPr="00F71CF9">
        <w:rPr>
          <w:rFonts w:eastAsia="Times New Roman" w:cs="Arial"/>
          <w:b/>
          <w:color w:val="000000"/>
          <w:sz w:val="24"/>
          <w:szCs w:val="24"/>
        </w:rPr>
        <w:t>Y</w:t>
      </w:r>
      <w:r w:rsidRPr="00F71CF9">
        <w:rPr>
          <w:rFonts w:eastAsia="Times New Roman" w:cs="Arial"/>
          <w:color w:val="000000"/>
          <w:sz w:val="24"/>
          <w:szCs w:val="24"/>
        </w:rPr>
        <w:t xml:space="preserve">: vector of model observables for 2011q4. </w:t>
      </w:r>
      <w:r w:rsidR="00F71CF9" w:rsidRPr="00F71CF9">
        <w:rPr>
          <w:rFonts w:eastAsia="Times New Roman" w:cs="Arial"/>
          <w:color w:val="000000"/>
          <w:sz w:val="24"/>
          <w:szCs w:val="24"/>
        </w:rPr>
        <w:t xml:space="preserve">For data sources and definitions, please refer to the SummaryForResearchers.pdf. </w:t>
      </w:r>
      <w:r w:rsidRPr="00F71CF9">
        <w:rPr>
          <w:rFonts w:eastAsia="Times New Roman" w:cs="Arial"/>
          <w:color w:val="000000"/>
          <w:sz w:val="24"/>
          <w:szCs w:val="24"/>
        </w:rPr>
        <w:t>The ordering of the variables is as follows</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ED0043">
        <w:rPr>
          <w:rFonts w:eastAsia="Times New Roman" w:cs="Times New Roman"/>
          <w:color w:val="000000"/>
          <w:sz w:val="24"/>
          <w:szCs w:val="24"/>
        </w:rPr>
        <w:t>Nominal Per Capita GDP Growth</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ED0043">
        <w:rPr>
          <w:rFonts w:eastAsia="Times New Roman" w:cs="Times New Roman"/>
          <w:color w:val="000000"/>
          <w:sz w:val="24"/>
          <w:szCs w:val="24"/>
        </w:rPr>
        <w:t>Nominal Per Capita Consumption Growth</w:t>
      </w:r>
      <w:r w:rsidRPr="00F71CF9">
        <w:rPr>
          <w:rFonts w:eastAsia="Times New Roman" w:cs="Times New Roman"/>
          <w:color w:val="000000"/>
          <w:sz w:val="24"/>
          <w:szCs w:val="24"/>
        </w:rPr>
        <w:t xml:space="preserve">, defined as consumption in non-durables and services </w:t>
      </w:r>
    </w:p>
    <w:p w:rsidR="00ED0043" w:rsidRPr="00F71CF9" w:rsidRDefault="00ED0043" w:rsidP="00ED0043">
      <w:pPr>
        <w:pStyle w:val="ListParagraph"/>
        <w:numPr>
          <w:ilvl w:val="1"/>
          <w:numId w:val="4"/>
        </w:numPr>
        <w:spacing w:after="0" w:line="240" w:lineRule="auto"/>
        <w:rPr>
          <w:rFonts w:eastAsia="Times New Roman" w:cs="Times New Roman"/>
          <w:color w:val="000000"/>
          <w:sz w:val="24"/>
          <w:szCs w:val="24"/>
        </w:rPr>
      </w:pPr>
      <w:r w:rsidRPr="00F71CF9">
        <w:rPr>
          <w:rFonts w:eastAsia="Times New Roman" w:cs="Times New Roman"/>
          <w:color w:val="000000"/>
          <w:sz w:val="24"/>
          <w:szCs w:val="24"/>
        </w:rPr>
        <w:t>Nominal Per Capita Investment Growth, defined as durable consumption &amp; p</w:t>
      </w:r>
      <w:r w:rsidRPr="00ED0043">
        <w:rPr>
          <w:rFonts w:eastAsia="Times New Roman" w:cs="Times New Roman"/>
          <w:color w:val="000000"/>
          <w:sz w:val="24"/>
          <w:szCs w:val="24"/>
        </w:rPr>
        <w:t>rivate Investment</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Arial"/>
          <w:color w:val="000000"/>
          <w:sz w:val="24"/>
          <w:szCs w:val="24"/>
        </w:rPr>
        <w:t xml:space="preserve">Hours in the NFBS </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Times New Roman"/>
          <w:color w:val="000000"/>
          <w:sz w:val="24"/>
          <w:szCs w:val="24"/>
        </w:rPr>
        <w:t>Nominal w</w:t>
      </w:r>
      <w:r w:rsidRPr="00ED0043">
        <w:rPr>
          <w:rFonts w:eastAsia="Times New Roman" w:cs="Times New Roman"/>
          <w:color w:val="000000"/>
          <w:sz w:val="24"/>
          <w:szCs w:val="24"/>
        </w:rPr>
        <w:t>age</w:t>
      </w:r>
      <w:r w:rsidRPr="00F71CF9">
        <w:rPr>
          <w:rFonts w:eastAsia="Times New Roman" w:cs="Times New Roman"/>
          <w:color w:val="000000"/>
          <w:sz w:val="24"/>
          <w:szCs w:val="24"/>
        </w:rPr>
        <w:t xml:space="preserve"> growth in the NFBS </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Times New Roman"/>
          <w:color w:val="000000"/>
          <w:sz w:val="24"/>
          <w:szCs w:val="24"/>
        </w:rPr>
        <w:t xml:space="preserve">Federal Funds rate </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Times New Roman"/>
          <w:color w:val="000000"/>
          <w:sz w:val="24"/>
          <w:szCs w:val="24"/>
        </w:rPr>
        <w:t>Inflation in the Investment deflator (chain weighted durable consumption &amp; private i</w:t>
      </w:r>
      <w:r w:rsidRPr="00ED0043">
        <w:rPr>
          <w:rFonts w:eastAsia="Times New Roman" w:cs="Times New Roman"/>
          <w:color w:val="000000"/>
          <w:sz w:val="24"/>
          <w:szCs w:val="24"/>
        </w:rPr>
        <w:t>nvestment)</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Arial"/>
          <w:color w:val="000000"/>
          <w:sz w:val="24"/>
          <w:szCs w:val="24"/>
        </w:rPr>
        <w:t xml:space="preserve">Inflation in the GDP deflator </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Arial"/>
          <w:color w:val="000000"/>
          <w:sz w:val="24"/>
          <w:szCs w:val="24"/>
        </w:rPr>
        <w:t xml:space="preserve">Inflation in the consumption deflator (chain weighted consumption of non-durables and services) </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Arial"/>
          <w:color w:val="000000"/>
          <w:sz w:val="24"/>
          <w:szCs w:val="24"/>
        </w:rPr>
        <w:t xml:space="preserve">Inflation in Core PCE </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Arial"/>
          <w:color w:val="000000"/>
          <w:sz w:val="24"/>
          <w:szCs w:val="24"/>
        </w:rPr>
        <w:t xml:space="preserve">Inflation in Core CPI </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Arial"/>
          <w:color w:val="000000"/>
          <w:sz w:val="24"/>
          <w:szCs w:val="24"/>
        </w:rPr>
        <w:t xml:space="preserve">Credit spread </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Arial"/>
          <w:color w:val="000000"/>
          <w:sz w:val="24"/>
          <w:szCs w:val="24"/>
        </w:rPr>
        <w:t xml:space="preserve">Expected average inflation over 10 years, survey of professional forecasters. </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Arial"/>
          <w:color w:val="000000"/>
          <w:sz w:val="24"/>
          <w:szCs w:val="24"/>
        </w:rPr>
        <w:t xml:space="preserve">Credit to GDP ratio </w:t>
      </w:r>
    </w:p>
    <w:p w:rsidR="00ED0043" w:rsidRPr="00F71CF9" w:rsidRDefault="00ED0043" w:rsidP="00ED0043">
      <w:pPr>
        <w:pStyle w:val="ListParagraph"/>
        <w:numPr>
          <w:ilvl w:val="1"/>
          <w:numId w:val="4"/>
        </w:numPr>
        <w:spacing w:after="0" w:line="240" w:lineRule="auto"/>
        <w:rPr>
          <w:rFonts w:eastAsia="Times New Roman" w:cs="Arial"/>
          <w:color w:val="000000"/>
          <w:sz w:val="24"/>
          <w:szCs w:val="24"/>
        </w:rPr>
      </w:pPr>
      <w:r w:rsidRPr="00F71CF9">
        <w:rPr>
          <w:rFonts w:eastAsia="Times New Roman" w:cs="Arial"/>
          <w:color w:val="000000"/>
          <w:sz w:val="24"/>
          <w:szCs w:val="24"/>
        </w:rPr>
        <w:t xml:space="preserve">Through 24. Expected FFR for quarters 1 through ten. </w:t>
      </w:r>
    </w:p>
    <w:p w:rsidR="00F71CF9" w:rsidRPr="00F71CF9" w:rsidRDefault="00F71CF9" w:rsidP="00F71CF9">
      <w:pPr>
        <w:pStyle w:val="ListParagraph"/>
        <w:numPr>
          <w:ilvl w:val="0"/>
          <w:numId w:val="4"/>
        </w:numPr>
        <w:spacing w:after="0" w:line="240" w:lineRule="auto"/>
        <w:rPr>
          <w:rFonts w:eastAsia="Times New Roman" w:cs="Arial"/>
          <w:color w:val="000000"/>
          <w:sz w:val="24"/>
          <w:szCs w:val="24"/>
        </w:rPr>
      </w:pPr>
      <w:proofErr w:type="spellStart"/>
      <w:r w:rsidRPr="00F71CF9">
        <w:rPr>
          <w:rFonts w:eastAsia="Times New Roman" w:cs="Arial"/>
          <w:b/>
          <w:color w:val="000000"/>
          <w:sz w:val="24"/>
          <w:szCs w:val="24"/>
        </w:rPr>
        <w:t>Param</w:t>
      </w:r>
      <w:proofErr w:type="spellEnd"/>
      <w:r w:rsidRPr="00F71CF9">
        <w:rPr>
          <w:rFonts w:eastAsia="Times New Roman" w:cs="Arial"/>
          <w:color w:val="000000"/>
          <w:sz w:val="24"/>
          <w:szCs w:val="24"/>
        </w:rPr>
        <w:t>: vector of estimated and calibrated parameters for the two samples. For further details, please refer to the SummaryForResearchers.pdf</w:t>
      </w:r>
    </w:p>
    <w:p w:rsidR="00F71CF9" w:rsidRPr="00F71CF9" w:rsidRDefault="00F71CF9" w:rsidP="00F71CF9">
      <w:pPr>
        <w:pStyle w:val="ListParagraph"/>
        <w:numPr>
          <w:ilvl w:val="0"/>
          <w:numId w:val="4"/>
        </w:numPr>
        <w:spacing w:after="0" w:line="240" w:lineRule="auto"/>
        <w:rPr>
          <w:rFonts w:eastAsia="Times New Roman" w:cs="Arial"/>
          <w:color w:val="000000"/>
          <w:sz w:val="24"/>
          <w:szCs w:val="24"/>
        </w:rPr>
      </w:pPr>
      <w:r w:rsidRPr="00F71CF9">
        <w:rPr>
          <w:rFonts w:eastAsia="Times New Roman" w:cs="Arial"/>
          <w:b/>
          <w:color w:val="000000"/>
          <w:sz w:val="24"/>
          <w:szCs w:val="24"/>
        </w:rPr>
        <w:t>KFSTRU</w:t>
      </w:r>
      <w:r w:rsidRPr="00F71CF9">
        <w:rPr>
          <w:rFonts w:eastAsia="Times New Roman" w:cs="Arial"/>
          <w:color w:val="000000"/>
          <w:sz w:val="24"/>
          <w:szCs w:val="24"/>
        </w:rPr>
        <w:t xml:space="preserve">: structure with three fields. The </w:t>
      </w:r>
      <w:proofErr w:type="gramStart"/>
      <w:r w:rsidRPr="00F71CF9">
        <w:rPr>
          <w:rFonts w:eastAsia="Times New Roman" w:cs="Arial"/>
          <w:color w:val="000000"/>
          <w:sz w:val="24"/>
          <w:szCs w:val="24"/>
        </w:rPr>
        <w:t>fields</w:t>
      </w:r>
      <w:proofErr w:type="gramEnd"/>
      <w:r w:rsidRPr="00F71CF9">
        <w:rPr>
          <w:rFonts w:eastAsia="Times New Roman" w:cs="Arial"/>
          <w:color w:val="000000"/>
          <w:sz w:val="24"/>
          <w:szCs w:val="24"/>
        </w:rPr>
        <w:t xml:space="preserve"> </w:t>
      </w:r>
      <w:proofErr w:type="spellStart"/>
      <w:r w:rsidRPr="00F71CF9">
        <w:rPr>
          <w:rFonts w:eastAsia="Times New Roman" w:cs="Arial"/>
          <w:color w:val="000000"/>
          <w:sz w:val="24"/>
          <w:szCs w:val="24"/>
        </w:rPr>
        <w:t>smoothSt</w:t>
      </w:r>
      <w:proofErr w:type="spellEnd"/>
      <w:r w:rsidRPr="00F71CF9">
        <w:rPr>
          <w:rFonts w:eastAsia="Times New Roman" w:cs="Arial"/>
          <w:color w:val="000000"/>
          <w:sz w:val="24"/>
          <w:szCs w:val="24"/>
        </w:rPr>
        <w:t xml:space="preserve"> and </w:t>
      </w:r>
      <w:proofErr w:type="spellStart"/>
      <w:r w:rsidRPr="00F71CF9">
        <w:rPr>
          <w:rFonts w:eastAsia="Times New Roman" w:cs="Arial"/>
          <w:color w:val="000000"/>
          <w:sz w:val="24"/>
          <w:szCs w:val="24"/>
        </w:rPr>
        <w:t>filteredSt</w:t>
      </w:r>
      <w:proofErr w:type="spellEnd"/>
      <w:r w:rsidRPr="00F71CF9">
        <w:rPr>
          <w:rFonts w:eastAsia="Times New Roman" w:cs="Arial"/>
          <w:color w:val="000000"/>
          <w:sz w:val="24"/>
          <w:szCs w:val="24"/>
        </w:rPr>
        <w:t xml:space="preserve"> correspond to the row vectors of smooth and filtered states for all variables in the model in 2011Q4. Since this is the last quarter of data these are identical. The field innovation corresponds to the smooth vector of innovations inferred for that same quarter. </w:t>
      </w:r>
    </w:p>
    <w:p w:rsidR="00ED0043" w:rsidRPr="0096360B" w:rsidRDefault="00ED0043" w:rsidP="0096360B">
      <w:pPr>
        <w:spacing w:after="0" w:line="240" w:lineRule="auto"/>
        <w:ind w:left="720"/>
        <w:rPr>
          <w:rFonts w:eastAsia="Times New Roman" w:cs="Arial"/>
          <w:color w:val="000000"/>
          <w:sz w:val="24"/>
          <w:szCs w:val="24"/>
        </w:rPr>
      </w:pPr>
    </w:p>
    <w:p w:rsidR="00ED0043" w:rsidRPr="00F71CF9" w:rsidRDefault="00ED0043" w:rsidP="00ED0043">
      <w:pPr>
        <w:spacing w:after="0" w:line="240" w:lineRule="auto"/>
        <w:rPr>
          <w:rFonts w:eastAsia="Times New Roman" w:cs="Arial"/>
          <w:color w:val="000000"/>
          <w:sz w:val="24"/>
          <w:szCs w:val="24"/>
        </w:rPr>
      </w:pPr>
    </w:p>
    <w:p w:rsidR="00F71CF9" w:rsidRPr="00F71CF9" w:rsidRDefault="00F71CF9" w:rsidP="00ED0043">
      <w:pPr>
        <w:spacing w:after="0" w:line="240" w:lineRule="auto"/>
        <w:rPr>
          <w:rFonts w:eastAsia="Times New Roman" w:cs="Arial"/>
          <w:color w:val="000000"/>
          <w:sz w:val="24"/>
          <w:szCs w:val="24"/>
        </w:rPr>
      </w:pPr>
      <w:r w:rsidRPr="00F71CF9">
        <w:rPr>
          <w:rFonts w:eastAsia="Times New Roman" w:cs="Arial"/>
          <w:color w:val="000000"/>
          <w:sz w:val="24"/>
          <w:szCs w:val="24"/>
        </w:rPr>
        <w:t xml:space="preserve">Please note that the </w:t>
      </w:r>
      <w:r w:rsidR="00ED0043" w:rsidRPr="00F71CF9">
        <w:rPr>
          <w:rFonts w:eastAsia="Times New Roman" w:cs="Arial"/>
          <w:color w:val="000000"/>
          <w:sz w:val="24"/>
          <w:szCs w:val="24"/>
        </w:rPr>
        <w:t xml:space="preserve">solution of the model uses the Anderson and Moore Algorithm. The set of codes that compute the solution are stored under </w:t>
      </w:r>
      <w:r w:rsidR="00ED0043" w:rsidRPr="00F71CF9">
        <w:rPr>
          <w:rFonts w:eastAsia="Times New Roman" w:cs="Arial"/>
          <w:b/>
          <w:color w:val="000000"/>
          <w:sz w:val="24"/>
          <w:szCs w:val="24"/>
        </w:rPr>
        <w:t>utilities\</w:t>
      </w:r>
      <w:proofErr w:type="spellStart"/>
      <w:r w:rsidR="00ED0043" w:rsidRPr="00F71CF9">
        <w:rPr>
          <w:rFonts w:eastAsia="Times New Roman" w:cs="Arial"/>
          <w:b/>
          <w:color w:val="000000"/>
          <w:sz w:val="24"/>
          <w:szCs w:val="24"/>
        </w:rPr>
        <w:t>gensystoama</w:t>
      </w:r>
      <w:proofErr w:type="spellEnd"/>
      <w:r w:rsidR="00ED0043" w:rsidRPr="00F71CF9">
        <w:rPr>
          <w:rFonts w:eastAsia="Times New Roman" w:cs="Arial"/>
          <w:color w:val="000000"/>
          <w:sz w:val="24"/>
          <w:szCs w:val="24"/>
        </w:rPr>
        <w:t xml:space="preserve"> and were written by Gary Anderson at the FRB of Governors.  For details, please refer to </w:t>
      </w:r>
      <w:r w:rsidRPr="00F71CF9">
        <w:rPr>
          <w:rFonts w:eastAsia="Times New Roman" w:cs="Times New Roman"/>
          <w:color w:val="000000"/>
          <w:sz w:val="24"/>
          <w:szCs w:val="24"/>
        </w:rPr>
        <w:t xml:space="preserve">Anderson, G. and Moore, G., "A Linear Algebraic Procedure for Solving Linear Perfect Foresight Models.", </w:t>
      </w:r>
      <w:r>
        <w:rPr>
          <w:rFonts w:eastAsia="Times New Roman" w:cs="Times New Roman"/>
          <w:color w:val="000000"/>
          <w:sz w:val="24"/>
          <w:szCs w:val="24"/>
        </w:rPr>
        <w:t>Economic</w:t>
      </w:r>
      <w:r w:rsidRPr="00F71CF9">
        <w:rPr>
          <w:rFonts w:eastAsia="Times New Roman" w:cs="Times New Roman"/>
          <w:color w:val="000000"/>
          <w:sz w:val="24"/>
          <w:szCs w:val="24"/>
        </w:rPr>
        <w:t xml:space="preserve"> Letters, 17, 1985.</w:t>
      </w:r>
    </w:p>
    <w:tbl>
      <w:tblPr>
        <w:tblW w:w="7004" w:type="dxa"/>
        <w:tblLook w:val="04A0"/>
      </w:tblPr>
      <w:tblGrid>
        <w:gridCol w:w="2720"/>
        <w:gridCol w:w="222"/>
        <w:gridCol w:w="222"/>
        <w:gridCol w:w="960"/>
        <w:gridCol w:w="960"/>
        <w:gridCol w:w="960"/>
        <w:gridCol w:w="960"/>
      </w:tblGrid>
      <w:tr w:rsidR="00F71CF9" w:rsidRPr="001B284E" w:rsidTr="00F71CF9">
        <w:trPr>
          <w:trHeight w:val="300"/>
        </w:trPr>
        <w:tc>
          <w:tcPr>
            <w:tcW w:w="3164" w:type="dxa"/>
            <w:gridSpan w:val="3"/>
            <w:tcBorders>
              <w:top w:val="nil"/>
              <w:left w:val="nil"/>
              <w:bottom w:val="nil"/>
              <w:right w:val="nil"/>
            </w:tcBorders>
            <w:shd w:val="clear" w:color="auto" w:fill="auto"/>
            <w:noWrap/>
            <w:vAlign w:val="bottom"/>
            <w:hideMark/>
          </w:tcPr>
          <w:p w:rsidR="00F71CF9" w:rsidRPr="001B284E" w:rsidRDefault="00F71CF9"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F71CF9" w:rsidRPr="001B284E" w:rsidRDefault="00F71CF9"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F71CF9" w:rsidRPr="001B284E" w:rsidRDefault="00F71CF9"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F71CF9" w:rsidRPr="001B284E" w:rsidRDefault="00F71CF9"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F71CF9" w:rsidRPr="001B284E" w:rsidRDefault="00F71CF9" w:rsidP="001F3151">
            <w:pPr>
              <w:spacing w:after="0" w:line="240" w:lineRule="auto"/>
              <w:rPr>
                <w:rFonts w:ascii="Calibri" w:eastAsia="Times New Roman" w:hAnsi="Calibri" w:cs="Times New Roman"/>
                <w:color w:val="000000"/>
              </w:rPr>
            </w:pPr>
          </w:p>
        </w:tc>
      </w:tr>
      <w:tr w:rsidR="00ED0043" w:rsidRPr="001B284E" w:rsidTr="00F71CF9">
        <w:trPr>
          <w:trHeight w:val="300"/>
        </w:trPr>
        <w:tc>
          <w:tcPr>
            <w:tcW w:w="3164" w:type="dxa"/>
            <w:gridSpan w:val="3"/>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r>
      <w:tr w:rsidR="00ED0043" w:rsidRPr="001B284E" w:rsidTr="00F71CF9">
        <w:trPr>
          <w:trHeight w:val="300"/>
        </w:trPr>
        <w:tc>
          <w:tcPr>
            <w:tcW w:w="7004" w:type="dxa"/>
            <w:gridSpan w:val="7"/>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r>
      <w:tr w:rsidR="00ED0043" w:rsidRPr="001B284E" w:rsidTr="00F71CF9">
        <w:trPr>
          <w:trHeight w:val="300"/>
        </w:trPr>
        <w:tc>
          <w:tcPr>
            <w:tcW w:w="272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222"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222"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r>
      <w:tr w:rsidR="00ED0043" w:rsidRPr="001B284E" w:rsidTr="00F71CF9">
        <w:trPr>
          <w:trHeight w:val="300"/>
        </w:trPr>
        <w:tc>
          <w:tcPr>
            <w:tcW w:w="3164" w:type="dxa"/>
            <w:gridSpan w:val="3"/>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ED0043" w:rsidRPr="001B284E" w:rsidRDefault="00ED0043" w:rsidP="001F3151">
            <w:pPr>
              <w:spacing w:after="0" w:line="240" w:lineRule="auto"/>
              <w:rPr>
                <w:rFonts w:ascii="Calibri" w:eastAsia="Times New Roman" w:hAnsi="Calibri" w:cs="Times New Roman"/>
                <w:color w:val="000000"/>
              </w:rPr>
            </w:pPr>
          </w:p>
        </w:tc>
      </w:tr>
    </w:tbl>
    <w:p w:rsidR="00ED0043" w:rsidRPr="00ED0043" w:rsidRDefault="00ED0043" w:rsidP="00ED0043"/>
    <w:sectPr w:rsidR="00ED0043" w:rsidRPr="00ED0043" w:rsidSect="00AA4B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C3A12"/>
    <w:multiLevelType w:val="hybridMultilevel"/>
    <w:tmpl w:val="C8224280"/>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8B26663"/>
    <w:multiLevelType w:val="hybridMultilevel"/>
    <w:tmpl w:val="4FAA8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8C543C6"/>
    <w:multiLevelType w:val="hybridMultilevel"/>
    <w:tmpl w:val="C3F0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A1461D"/>
    <w:multiLevelType w:val="hybridMultilevel"/>
    <w:tmpl w:val="3E105DB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0708B9"/>
    <w:multiLevelType w:val="hybridMultilevel"/>
    <w:tmpl w:val="B4D25A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56B5"/>
    <w:rsid w:val="00026DF2"/>
    <w:rsid w:val="00054E65"/>
    <w:rsid w:val="000639F1"/>
    <w:rsid w:val="00067253"/>
    <w:rsid w:val="00094DC1"/>
    <w:rsid w:val="000A7322"/>
    <w:rsid w:val="00105F5A"/>
    <w:rsid w:val="00177A2B"/>
    <w:rsid w:val="001D31EA"/>
    <w:rsid w:val="00207434"/>
    <w:rsid w:val="00262BF7"/>
    <w:rsid w:val="002C696E"/>
    <w:rsid w:val="003D1930"/>
    <w:rsid w:val="003D557E"/>
    <w:rsid w:val="003E6BCD"/>
    <w:rsid w:val="00413943"/>
    <w:rsid w:val="00451517"/>
    <w:rsid w:val="004840FE"/>
    <w:rsid w:val="004B15D5"/>
    <w:rsid w:val="004B45C0"/>
    <w:rsid w:val="005132EC"/>
    <w:rsid w:val="005A56B5"/>
    <w:rsid w:val="0064290F"/>
    <w:rsid w:val="006D53D7"/>
    <w:rsid w:val="007332CB"/>
    <w:rsid w:val="00773C55"/>
    <w:rsid w:val="00821A9F"/>
    <w:rsid w:val="00845C8D"/>
    <w:rsid w:val="008F1468"/>
    <w:rsid w:val="009152E3"/>
    <w:rsid w:val="0096360B"/>
    <w:rsid w:val="00A60AB3"/>
    <w:rsid w:val="00AA4B8A"/>
    <w:rsid w:val="00AF3D4E"/>
    <w:rsid w:val="00B063DA"/>
    <w:rsid w:val="00B272F5"/>
    <w:rsid w:val="00BA44BE"/>
    <w:rsid w:val="00C241DB"/>
    <w:rsid w:val="00C977DD"/>
    <w:rsid w:val="00D158EC"/>
    <w:rsid w:val="00D25073"/>
    <w:rsid w:val="00D85B4C"/>
    <w:rsid w:val="00E07162"/>
    <w:rsid w:val="00E35242"/>
    <w:rsid w:val="00E80924"/>
    <w:rsid w:val="00E90DC3"/>
    <w:rsid w:val="00ED0043"/>
    <w:rsid w:val="00EF50ED"/>
    <w:rsid w:val="00F71CF9"/>
    <w:rsid w:val="00F80EF8"/>
    <w:rsid w:val="00FC65E0"/>
    <w:rsid w:val="00FD21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B8A"/>
  </w:style>
  <w:style w:type="paragraph" w:styleId="Heading1">
    <w:name w:val="heading 1"/>
    <w:basedOn w:val="Normal"/>
    <w:next w:val="Normal"/>
    <w:link w:val="Heading1Char"/>
    <w:uiPriority w:val="9"/>
    <w:qFormat/>
    <w:rsid w:val="008F14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90F"/>
    <w:pPr>
      <w:ind w:left="720"/>
      <w:contextualSpacing/>
    </w:pPr>
  </w:style>
  <w:style w:type="character" w:customStyle="1" w:styleId="Heading1Char">
    <w:name w:val="Heading 1 Char"/>
    <w:basedOn w:val="DefaultParagraphFont"/>
    <w:link w:val="Heading1"/>
    <w:uiPriority w:val="9"/>
    <w:rsid w:val="008F1468"/>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96360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63756289">
      <w:bodyDiv w:val="1"/>
      <w:marLeft w:val="0"/>
      <w:marRight w:val="0"/>
      <w:marTop w:val="0"/>
      <w:marBottom w:val="0"/>
      <w:divBdr>
        <w:top w:val="none" w:sz="0" w:space="0" w:color="auto"/>
        <w:left w:val="none" w:sz="0" w:space="0" w:color="auto"/>
        <w:bottom w:val="none" w:sz="0" w:space="0" w:color="auto"/>
        <w:right w:val="none" w:sz="0" w:space="0" w:color="auto"/>
      </w:divBdr>
    </w:div>
    <w:div w:id="1896433416">
      <w:bodyDiv w:val="1"/>
      <w:marLeft w:val="0"/>
      <w:marRight w:val="0"/>
      <w:marTop w:val="0"/>
      <w:marBottom w:val="0"/>
      <w:divBdr>
        <w:top w:val="none" w:sz="0" w:space="0" w:color="auto"/>
        <w:left w:val="none" w:sz="0" w:space="0" w:color="auto"/>
        <w:bottom w:val="none" w:sz="0" w:space="0" w:color="auto"/>
        <w:right w:val="none" w:sz="0" w:space="0" w:color="auto"/>
      </w:divBdr>
    </w:div>
    <w:div w:id="189831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athwork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spenpublishers.com/blue-chip-publications.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A33298-2CAB-435E-9B64-C61AC1432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5</Pages>
  <Words>1595</Words>
  <Characters>9093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Campbell</dc:creator>
  <cp:keywords/>
  <dc:description/>
  <cp:lastModifiedBy>Jeffrey Campbell</cp:lastModifiedBy>
  <cp:revision>36</cp:revision>
  <cp:lastPrinted>2012-08-23T22:11:00Z</cp:lastPrinted>
  <dcterms:created xsi:type="dcterms:W3CDTF">2012-08-19T19:41:00Z</dcterms:created>
  <dcterms:modified xsi:type="dcterms:W3CDTF">2012-08-25T03:56:00Z</dcterms:modified>
</cp:coreProperties>
</file>